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4.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6926" w:leader="none"/>
        </w:tabs>
        <w:jc w:val="center"/>
        <w:rPr>
          <w:b/>
          <w:sz w:val="24"/>
          <w:szCs w:val="24"/>
        </w:rPr>
      </w:pPr>
      <w:r>
        <w:rPr>
          <w:b/>
          <w:bCs/>
          <w:sz w:val="24"/>
          <w:szCs w:val="24"/>
        </w:rPr>
        <w:t>Договор поставки</w:t>
      </w:r>
    </w:p>
    <w:p>
      <w:pPr>
        <w:pStyle w:val="Normal"/>
        <w:shd w:val="clear" w:color="auto" w:fill="FFFFFF"/>
        <w:tabs>
          <w:tab w:val="clear" w:pos="709"/>
          <w:tab w:val="right" w:pos="9639" w:leader="none"/>
        </w:tabs>
        <w:jc w:val="right"/>
        <w:rPr>
          <w:bCs/>
          <w:sz w:val="24"/>
          <w:szCs w:val="24"/>
        </w:rPr>
      </w:pPr>
      <w:r>
        <w:rPr>
          <w:bCs/>
          <w:sz w:val="24"/>
          <w:szCs w:val="24"/>
        </w:rPr>
        <w:t>г. _________</w:t>
        <w:tab/>
        <w:t xml:space="preserve">   «___» _________ 20__ г.</w:t>
      </w:r>
    </w:p>
    <w:p>
      <w:pPr>
        <w:pStyle w:val="Normal"/>
        <w:shd w:val="clear" w:color="auto" w:fill="FFFFFF"/>
        <w:tabs>
          <w:tab w:val="clear" w:pos="709"/>
          <w:tab w:val="right" w:pos="9639" w:leader="none"/>
        </w:tabs>
        <w:jc w:val="right"/>
        <w:rPr>
          <w:bCs/>
          <w:sz w:val="24"/>
          <w:szCs w:val="24"/>
        </w:rPr>
      </w:pPr>
      <w:r>
        <w:rPr>
          <w:bCs/>
          <w:sz w:val="24"/>
          <w:szCs w:val="24"/>
        </w:rPr>
      </w:r>
    </w:p>
    <w:p>
      <w:pPr>
        <w:pStyle w:val="Normal"/>
        <w:ind w:firstLine="709"/>
        <w:jc w:val="both"/>
        <w:rPr>
          <w:spacing w:val="10"/>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«Покупатель»), в лице директора Филиала ПАО «РусГидро» - «Камская ГЭС» Двинянинова Сергея Валерьевича</w:t>
      </w:r>
      <w:r>
        <w:rPr>
          <w:spacing w:val="4"/>
          <w:sz w:val="24"/>
          <w:szCs w:val="24"/>
        </w:rPr>
        <w:t>, действующего на основании _____________________</w:t>
      </w:r>
      <w:bookmarkStart w:id="0" w:name="_GoBack"/>
      <w:bookmarkEnd w:id="0"/>
      <w:r>
        <w:rPr>
          <w:spacing w:val="4"/>
          <w:sz w:val="24"/>
          <w:szCs w:val="24"/>
        </w:rPr>
        <w:t>___________________, с одной стороны, и</w:t>
      </w:r>
      <w:r>
        <w:rPr>
          <w:spacing w:val="10"/>
          <w:sz w:val="24"/>
          <w:szCs w:val="24"/>
        </w:rPr>
        <w:t xml:space="preserve"> </w:t>
      </w:r>
    </w:p>
    <w:p>
      <w:pPr>
        <w:pStyle w:val="Normal"/>
        <w:ind w:firstLine="709"/>
        <w:jc w:val="both"/>
        <w:rPr>
          <w:sz w:val="24"/>
          <w:szCs w:val="24"/>
        </w:rPr>
      </w:pPr>
      <w:r>
        <w:rPr>
          <w:b/>
          <w:spacing w:val="10"/>
          <w:sz w:val="24"/>
          <w:szCs w:val="24"/>
        </w:rPr>
        <w:t>_________________________________________________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pPr>
        <w:pStyle w:val="Normal"/>
        <w:ind w:firstLine="709"/>
        <w:jc w:val="both"/>
        <w:rPr>
          <w:sz w:val="24"/>
          <w:szCs w:val="24"/>
        </w:rPr>
      </w:pPr>
      <w:r>
        <w:rPr>
          <w:sz w:val="24"/>
          <w:szCs w:val="24"/>
        </w:rPr>
        <w:t xml:space="preserve">совместно в дальнейшем именуемые «Стороны», а по отдельности – «Сторона», </w:t>
        <w:br/>
      </w:r>
      <w:r>
        <w:rPr>
          <w:sz w:val="24"/>
          <w:szCs w:val="24"/>
          <w:lang w:eastAsia="en-US"/>
        </w:rPr>
        <w:t>по результатам проведенного Покупателем состязательного отбора по лоту № 6-ЭКСПДИТ-2026-КамГЭС и на основании протокола __________ от «___» _________ г. №_______,</w:t>
      </w:r>
    </w:p>
    <w:p>
      <w:pPr>
        <w:pStyle w:val="Normal"/>
        <w:ind w:firstLine="709"/>
        <w:jc w:val="both"/>
        <w:rPr>
          <w:spacing w:val="10"/>
          <w:sz w:val="24"/>
          <w:szCs w:val="24"/>
        </w:rPr>
      </w:pPr>
      <w:r>
        <w:rPr>
          <w:sz w:val="24"/>
          <w:szCs w:val="24"/>
        </w:rPr>
        <w:t>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w:t>
      </w:r>
      <w:r>
        <w:rPr>
          <w:sz w:val="24"/>
          <w:szCs w:val="24"/>
        </w:rPr>
        <w:t>-</w:t>
      </w:r>
      <w:r>
        <w:rPr>
          <w:sz w:val="24"/>
          <w:szCs w:val="24"/>
          <w:lang w:eastAsia="en-US"/>
        </w:rPr>
        <w:t xml:space="preserve">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9"/>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9"/>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pPr>
        <w:pStyle w:val="Normal"/>
        <w:jc w:val="both"/>
        <w:rPr>
          <w:sz w:val="24"/>
          <w:szCs w:val="24"/>
          <w:lang w:eastAsia="en-US"/>
        </w:rPr>
      </w:pPr>
      <w:r>
        <w:rPr>
          <w:b/>
          <w:sz w:val="24"/>
          <w:szCs w:val="24"/>
          <w:lang w:eastAsia="en-US"/>
        </w:rPr>
        <w:t xml:space="preserve">            </w:t>
      </w:r>
      <w:r>
        <w:rPr>
          <w:b/>
          <w:sz w:val="24"/>
          <w:szCs w:val="24"/>
          <w:lang w:eastAsia="en-US"/>
        </w:rPr>
        <w:t>«Применимое право»</w:t>
      </w:r>
      <w:r>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9"/>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shd w:val="clear" w:color="auto" w:fill="FFFFFF"/>
        <w:ind w:firstLine="709"/>
        <w:jc w:val="center"/>
        <w:rPr>
          <w:bCs/>
          <w:sz w:val="24"/>
          <w:szCs w:val="24"/>
        </w:rPr>
      </w:pPr>
      <w:r>
        <w:rPr>
          <w:bCs/>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9"/>
          <w:tab w:val="left" w:pos="1134" w:leader="none"/>
        </w:tabs>
        <w:ind w:left="0" w:firstLine="709"/>
        <w:jc w:val="both"/>
        <w:rPr>
          <w:bCs/>
          <w:sz w:val="24"/>
          <w:szCs w:val="24"/>
        </w:rPr>
      </w:pPr>
      <w:r>
        <w:rPr>
          <w:rFonts w:eastAsia="Times New Roman" w:cs="Times New Roman"/>
          <w:bCs/>
          <w:sz w:val="24"/>
          <w:szCs w:val="24"/>
          <w:lang w:eastAsia="ru-RU"/>
        </w:rPr>
        <w:t>Поставщик обязуется в порядке и сроки, установленные Договором, передать в собственность Покупателю</w:t>
      </w:r>
      <w:r>
        <w:rPr>
          <w:rFonts w:eastAsia="Calibri" w:cs="Times New Roman"/>
          <w:bCs/>
          <w:sz w:val="24"/>
          <w:szCs w:val="24"/>
        </w:rPr>
        <w:t xml:space="preserve"> материально-технические ресурсы</w:t>
      </w:r>
      <w:r>
        <w:rPr>
          <w:rFonts w:eastAsia="Times New Roman" w:cs="Times New Roman"/>
          <w:bCs/>
          <w:color w:val="000000" w:themeColor="text1"/>
          <w:sz w:val="24"/>
          <w:szCs w:val="24"/>
          <w:lang w:eastAsia="ru-RU"/>
        </w:rPr>
        <w:t xml:space="preserve"> на содержание и эксплуатацию оборудования связи </w:t>
      </w:r>
      <w:r>
        <w:rPr>
          <w:rFonts w:eastAsia="Times New Roman" w:cs="Times New Roman"/>
          <w:bCs/>
          <w:sz w:val="24"/>
          <w:szCs w:val="24"/>
          <w:lang w:eastAsia="ru-RU"/>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r>
        <w:rPr>
          <w:bCs/>
          <w:sz w:val="24"/>
          <w:szCs w:val="24"/>
        </w:rPr>
        <w:t>.</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«РусГидро»-«Камская ГЭС».</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Место поставки Товара: </w:t>
      </w:r>
      <w:r>
        <w:rPr>
          <w:sz w:val="24"/>
          <w:szCs w:val="24"/>
        </w:rPr>
        <w:t>г. Пермь, ул. Соликамская, д. 329 (далее – «Место поставки»).</w:t>
      </w:r>
    </w:p>
    <w:p>
      <w:pPr>
        <w:pStyle w:val="Normal"/>
        <w:numPr>
          <w:ilvl w:val="1"/>
          <w:numId w:val="2"/>
        </w:numPr>
        <w:shd w:val="clear" w:color="auto" w:fill="FFFFFF"/>
        <w:tabs>
          <w:tab w:val="clear" w:pos="709"/>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Standard"/>
        <w:numPr>
          <w:ilvl w:val="2"/>
          <w:numId w:val="2"/>
        </w:numPr>
        <w:shd w:val="clear" w:color="auto" w:fill="FFFFFF"/>
        <w:tabs>
          <w:tab w:val="clear" w:pos="709"/>
          <w:tab w:val="left" w:pos="0" w:leader="none"/>
          <w:tab w:val="left" w:pos="1134" w:leader="none"/>
          <w:tab w:val="left" w:pos="1418" w:leader="none"/>
        </w:tabs>
        <w:ind w:left="1639" w:hanging="930"/>
        <w:jc w:val="both"/>
        <w:rPr>
          <w:bCs/>
        </w:rPr>
      </w:pPr>
      <w:r>
        <w:rPr>
          <w:bCs/>
        </w:rPr>
        <w:t xml:space="preserve">Начало – </w:t>
      </w:r>
      <w:r>
        <w:rPr>
          <w:rFonts w:ascii="Times New Roman" w:hAnsi="Times New Roman"/>
          <w:bCs/>
        </w:rPr>
        <w:t>с даты заключения Договора.</w:t>
      </w:r>
    </w:p>
    <w:p>
      <w:pPr>
        <w:pStyle w:val="Normal"/>
        <w:numPr>
          <w:ilvl w:val="2"/>
          <w:numId w:val="2"/>
        </w:numPr>
        <w:tabs>
          <w:tab w:val="clear" w:pos="709"/>
          <w:tab w:val="left" w:pos="1418" w:leader="none"/>
        </w:tabs>
        <w:ind w:left="1639" w:hanging="930"/>
        <w:rPr>
          <w:bCs/>
          <w:sz w:val="24"/>
          <w:szCs w:val="24"/>
        </w:rPr>
      </w:pPr>
      <w:r>
        <w:rPr>
          <w:bCs/>
          <w:sz w:val="24"/>
          <w:szCs w:val="24"/>
        </w:rPr>
        <w:t>Окончание – «</w:t>
      </w:r>
      <w:r>
        <w:rPr>
          <w:bCs/>
          <w:sz w:val="24"/>
          <w:szCs w:val="24"/>
          <w:lang w:val="en-US"/>
        </w:rPr>
        <w:t>30</w:t>
      </w:r>
      <w:r>
        <w:rPr>
          <w:bCs/>
          <w:sz w:val="24"/>
          <w:szCs w:val="24"/>
        </w:rPr>
        <w:t>» ноября 202</w:t>
      </w:r>
      <w:r>
        <w:rPr>
          <w:bCs/>
          <w:sz w:val="24"/>
          <w:szCs w:val="24"/>
          <w:lang w:val="en-US"/>
        </w:rPr>
        <w:t>6</w:t>
      </w:r>
      <w:r>
        <w:rPr>
          <w:bCs/>
          <w:sz w:val="24"/>
          <w:szCs w:val="24"/>
        </w:rPr>
        <w:t xml:space="preserve"> года.</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Товар поставляется одной партией в рамках общих сроков, указанных в пункте 1.4 Договора. </w:t>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составляет </w:t>
      </w:r>
      <w:r>
        <w:rPr>
          <w:sz w:val="24"/>
          <w:szCs w:val="24"/>
        </w:rPr>
        <w:t>_______</w:t>
      </w:r>
      <w:r>
        <w:rPr>
          <w:bCs/>
          <w:sz w:val="24"/>
          <w:szCs w:val="24"/>
        </w:rPr>
        <w:t xml:space="preserve"> (</w:t>
      </w:r>
      <w:r>
        <w:rPr>
          <w:sz w:val="24"/>
          <w:szCs w:val="24"/>
        </w:rPr>
        <w:t>__________________</w:t>
      </w:r>
      <w:r>
        <w:rPr>
          <w:bCs/>
          <w:sz w:val="24"/>
          <w:szCs w:val="24"/>
        </w:rPr>
        <w:t xml:space="preserve">) рублей </w:t>
      </w:r>
      <w:r>
        <w:rPr>
          <w:sz w:val="24"/>
          <w:szCs w:val="24"/>
        </w:rPr>
        <w:t>___</w:t>
      </w:r>
      <w:r>
        <w:rPr>
          <w:bCs/>
          <w:sz w:val="24"/>
          <w:szCs w:val="24"/>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ListParagraph"/>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производство и / или приобретение Товара;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9"/>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9"/>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Авансовый платеж за Товар в размере 30 (тридцати) процентов от стоимости Товара без учета НДС, кроме того НДС по ставке, установленной статьей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Товара,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Последующий платеж в размере разницы между стоимостью Товара без учета НДС, кроме того НДС по ставке, установленной статьей 164 НК РФ на дату подписания Сторонами накладной ТОРГ-12, и суммой ранее уплаченного авансового платежа, выплачивается Поставщику в течение 7 (семи) рабочих дней с даты подписания Сторонами накладной ТОРГ-12, на основании счета, выставленного Поставщиком,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ListParagraph"/>
        <w:numPr>
          <w:ilvl w:val="1"/>
          <w:numId w:val="2"/>
        </w:numPr>
        <w:tabs>
          <w:tab w:val="clear" w:pos="709"/>
          <w:tab w:val="left" w:pos="1134" w:leader="none"/>
        </w:tabs>
        <w:ind w:left="0" w:firstLine="709"/>
        <w:jc w:val="both"/>
        <w:rPr>
          <w:sz w:val="24"/>
          <w:szCs w:val="24"/>
        </w:rPr>
      </w:pPr>
      <w:r>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9"/>
          <w:tab w:val="left" w:pos="1134" w:leader="none"/>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ListParagraph"/>
        <w:numPr>
          <w:ilvl w:val="1"/>
          <w:numId w:val="2"/>
        </w:numPr>
        <w:tabs>
          <w:tab w:val="clear" w:pos="709"/>
          <w:tab w:val="left" w:pos="1134" w:leader="none"/>
        </w:tabs>
        <w:ind w:left="0" w:firstLine="709"/>
        <w:jc w:val="both"/>
        <w:rPr>
          <w:sz w:val="24"/>
          <w:szCs w:val="24"/>
        </w:rPr>
      </w:pPr>
      <w:r>
        <w:rPr>
          <w:sz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tabs>
          <w:tab w:val="clear" w:pos="709"/>
          <w:tab w:val="left" w:pos="1134" w:leader="none"/>
        </w:tabs>
        <w:ind w:firstLine="709"/>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rPr>
          <w:sz w:val="24"/>
          <w:szCs w:val="24"/>
        </w:rPr>
      </w:pPr>
      <w:r>
        <w:rPr>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sz w:val="24"/>
          <w:szCs w:val="24"/>
        </w:rPr>
        <w:t>Поставка Товара осуществляется одной партией в Место поставки, указанное в пункте 1.3 Договора.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bCs/>
          <w:sz w:val="24"/>
          <w:szCs w:val="24"/>
          <w:shd w:fill="auto" w:val="clear"/>
        </w:rPr>
        <w:t xml:space="preserve">           </w:t>
      </w:r>
      <w:r>
        <w:rPr>
          <w:bCs/>
          <w:sz w:val="24"/>
          <w:szCs w:val="24"/>
          <w:shd w:fill="auto" w:val="clear"/>
        </w:rPr>
        <w:t xml:space="preserve">Поставщик не вправе производить замену Товара, содержащегося в одном из реестров, предусмотренных Постановлением Правительства РФ от 23.12.2024г. № 1875 </w:t>
      </w:r>
      <w:r>
        <w:rPr>
          <w:b w:val="false"/>
          <w:bCs/>
          <w:i w:val="false"/>
          <w:caps w:val="false"/>
          <w:smallCaps w:val="false"/>
          <w:color w:val="000000"/>
          <w:spacing w:val="0"/>
          <w:sz w:val="24"/>
          <w:szCs w:val="24"/>
          <w:shd w:fill="auto" w:val="clear"/>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Normal"/>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9"/>
          <w:tab w:val="left" w:pos="1418" w:leader="none"/>
        </w:tabs>
        <w:ind w:left="0" w:firstLine="709"/>
        <w:jc w:val="both"/>
        <w:rPr>
          <w:sz w:val="24"/>
          <w:szCs w:val="24"/>
        </w:rPr>
      </w:pPr>
      <w:r>
        <w:rPr>
          <w:sz w:val="24"/>
          <w:szCs w:val="24"/>
        </w:rPr>
        <w:t>сертификат качества в 2_(двух) экз.;</w:t>
      </w:r>
    </w:p>
    <w:p>
      <w:pPr>
        <w:pStyle w:val="Normal"/>
        <w:numPr>
          <w:ilvl w:val="0"/>
          <w:numId w:val="4"/>
        </w:numPr>
        <w:tabs>
          <w:tab w:val="clear" w:pos="709"/>
          <w:tab w:val="left" w:pos="1418" w:leader="none"/>
        </w:tabs>
        <w:ind w:left="0" w:firstLine="709"/>
        <w:jc w:val="both"/>
        <w:rPr>
          <w:sz w:val="24"/>
          <w:szCs w:val="24"/>
        </w:rPr>
      </w:pPr>
      <w:r>
        <w:rPr>
          <w:sz w:val="24"/>
          <w:szCs w:val="24"/>
        </w:rPr>
        <w:t>технический паспорт на русском языке в _2_(двух) экз.;</w:t>
      </w:r>
    </w:p>
    <w:p>
      <w:pPr>
        <w:pStyle w:val="Normal"/>
        <w:numPr>
          <w:ilvl w:val="0"/>
          <w:numId w:val="4"/>
        </w:numPr>
        <w:tabs>
          <w:tab w:val="clear" w:pos="709"/>
          <w:tab w:val="left" w:pos="1418" w:leader="none"/>
        </w:tabs>
        <w:ind w:left="0" w:firstLine="709"/>
        <w:jc w:val="both"/>
        <w:rPr>
          <w:sz w:val="24"/>
          <w:szCs w:val="24"/>
        </w:rPr>
      </w:pPr>
      <w:r>
        <w:rPr>
          <w:sz w:val="24"/>
          <w:szCs w:val="24"/>
        </w:rPr>
        <w:t>инструкция по эксплуатации на русском языке в _2_(двух) экз.;</w:t>
      </w:r>
    </w:p>
    <w:p>
      <w:pPr>
        <w:pStyle w:val="Normal"/>
        <w:numPr>
          <w:ilvl w:val="0"/>
          <w:numId w:val="4"/>
        </w:numPr>
        <w:tabs>
          <w:tab w:val="clear" w:pos="709"/>
          <w:tab w:val="left" w:pos="1418" w:leader="none"/>
        </w:tabs>
        <w:ind w:left="0" w:firstLine="709"/>
        <w:jc w:val="both"/>
        <w:rPr>
          <w:sz w:val="24"/>
          <w:szCs w:val="24"/>
        </w:rPr>
      </w:pPr>
      <w:r>
        <w:rPr>
          <w:sz w:val="24"/>
          <w:szCs w:val="24"/>
        </w:rPr>
        <w:t>упаковочный лист в _2_(двух) экз.;</w:t>
      </w:r>
    </w:p>
    <w:p>
      <w:pPr>
        <w:pStyle w:val="Normal"/>
        <w:numPr>
          <w:ilvl w:val="0"/>
          <w:numId w:val="3"/>
        </w:numPr>
        <w:tabs>
          <w:tab w:val="clear" w:pos="709"/>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shd w:val="clear" w:color="auto" w:fill="FFFFFF"/>
        <w:tabs>
          <w:tab w:val="clear" w:pos="709"/>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_2_(двух) экз.;</w:t>
      </w:r>
    </w:p>
    <w:p>
      <w:pPr>
        <w:pStyle w:val="Normal"/>
        <w:numPr>
          <w:ilvl w:val="0"/>
          <w:numId w:val="3"/>
        </w:numPr>
        <w:shd w:val="clear" w:color="auto" w:fill="FFFFFF"/>
        <w:tabs>
          <w:tab w:val="clear" w:pos="709"/>
          <w:tab w:val="left" w:pos="1418" w:leader="none"/>
        </w:tabs>
        <w:ind w:left="0" w:firstLine="709"/>
        <w:jc w:val="both"/>
        <w:rPr>
          <w:sz w:val="24"/>
          <w:szCs w:val="24"/>
        </w:rPr>
      </w:pPr>
      <w:r>
        <w:rPr>
          <w:sz w:val="24"/>
          <w:szCs w:val="24"/>
        </w:rPr>
        <w:t>накладная ТОРГ-12 в _2_(двух) экз.</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shd w:val="clear" w:color="auto" w:fill="FFFFFF"/>
        <w:tabs>
          <w:tab w:val="clear" w:pos="709"/>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 xml:space="preserve">Погрузка, доставка, разгрузка и перемещение Товара (в том числе </w:t>
        <w:br/>
        <w:t xml:space="preserve">по территории Покупателя) </w:t>
      </w:r>
      <w:r>
        <w:rPr>
          <w:bCs/>
          <w:sz w:val="24"/>
          <w:szCs w:val="24"/>
        </w:rPr>
        <w:t>осуществляется</w:t>
      </w:r>
      <w:r>
        <w:rPr>
          <w:sz w:val="24"/>
          <w:szCs w:val="24"/>
        </w:rPr>
        <w:t xml:space="preserve"> Поставщиком. Стоимость погрузки, доставки, разгрузки и перемещения Товара включена в стоимость Товара.</w:t>
      </w:r>
    </w:p>
    <w:p>
      <w:pPr>
        <w:pStyle w:val="ListParagraph"/>
        <w:widowContro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bookmarkStart w:id="2" w:name="_Ref361396594"/>
      <w:r>
        <w:rPr>
          <w:sz w:val="24"/>
          <w:szCs w:val="24"/>
        </w:rPr>
        <w:t xml:space="preserve">Датой поставки Товара является дата подписания Сторонами накладной </w:t>
        <w:br/>
        <w:t>ТОРГ-12.</w:t>
      </w:r>
      <w:bookmarkEnd w:id="2"/>
      <w:r>
        <w:rPr>
          <w:sz w:val="24"/>
          <w:szCs w:val="24"/>
        </w:rPr>
        <w:t xml:space="preserve">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9"/>
          <w:tab w:val="left" w:pos="1418" w:leader="none"/>
        </w:tabs>
        <w:ind w:left="0" w:firstLine="709"/>
        <w:jc w:val="both"/>
        <w:rPr>
          <w:sz w:val="24"/>
          <w:szCs w:val="24"/>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w:t>
      </w:r>
    </w:p>
    <w:p>
      <w:pPr>
        <w:pStyle w:val="Normal"/>
        <w:numPr>
          <w:ilvl w:val="1"/>
          <w:numId w:val="2"/>
        </w:numPr>
        <w:shd w:val="clear" w:color="auto" w:fill="FFFFFF"/>
        <w:tabs>
          <w:tab w:val="clear" w:pos="709"/>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pPr>
        <w:pStyle w:val="Normal"/>
        <w:numPr>
          <w:ilvl w:val="1"/>
          <w:numId w:val="2"/>
        </w:numPr>
        <w:shd w:val="clear" w:color="auto" w:fill="FFFFFF"/>
        <w:tabs>
          <w:tab w:val="clear" w:pos="709"/>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9"/>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pPr>
        <w:pStyle w:val="Normal"/>
        <w:shd w:val="clear" w:color="auto" w:fill="FFFFFF"/>
        <w:ind w:firstLine="709"/>
        <w:jc w:val="both"/>
        <w:rPr>
          <w:sz w:val="24"/>
          <w:szCs w:val="24"/>
        </w:rPr>
      </w:pPr>
      <w:r>
        <w:rPr>
          <w:sz w:val="24"/>
          <w:szCs w:val="24"/>
        </w:rPr>
      </w:r>
    </w:p>
    <w:p>
      <w:pPr>
        <w:pStyle w:val="ListParagraph"/>
        <w:numPr>
          <w:ilvl w:val="0"/>
          <w:numId w:val="2"/>
        </w:numPr>
        <w:shd w:val="clear" w:color="auto" w:fill="FFFFFF"/>
        <w:tabs>
          <w:tab w:val="clear" w:pos="709"/>
          <w:tab w:val="left" w:pos="284" w:leader="none"/>
        </w:tabs>
        <w:ind w:left="357" w:hanging="357"/>
        <w:jc w:val="center"/>
        <w:rPr>
          <w:b/>
          <w:sz w:val="24"/>
          <w:szCs w:val="24"/>
        </w:rPr>
      </w:pPr>
      <w:r>
        <w:rPr>
          <w:b/>
          <w:sz w:val="24"/>
          <w:szCs w:val="24"/>
        </w:rPr>
        <w:t>Гарантийный срок</w:t>
      </w:r>
    </w:p>
    <w:p>
      <w:pPr>
        <w:pStyle w:val="ListParagraph"/>
        <w:numPr>
          <w:ilvl w:val="1"/>
          <w:numId w:val="2"/>
        </w:numPr>
        <w:tabs>
          <w:tab w:val="left" w:pos="709" w:leader="none"/>
          <w:tab w:val="left" w:pos="1134" w:leader="none"/>
        </w:tabs>
        <w:ind w:left="0" w:firstLine="709"/>
        <w:jc w:val="both"/>
        <w:rPr>
          <w:sz w:val="24"/>
          <w:szCs w:val="24"/>
        </w:rPr>
      </w:pPr>
      <w:r>
        <w:rPr>
          <w:sz w:val="24"/>
          <w:szCs w:val="24"/>
        </w:rPr>
        <w:t xml:space="preserve">Гарантийный срок на Товар, поставленный по Договору, составляет 12 (двенадцать) месяцев и начинает течь с даты подписания Сторонами накладной ТОРГ-12. Гарантийный срок может быть продлен в соответствии с условиями Договора. </w:t>
      </w:r>
    </w:p>
    <w:p>
      <w:pPr>
        <w:pStyle w:val="ListParagraph"/>
        <w:tabs>
          <w:tab w:val="clear" w:pos="709"/>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rPr/>
      </w:pPr>
      <w:r>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9"/>
          <w:tab w:val="left" w:pos="1134"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Покупатель не несет ответственности за ненадлежащее исполнение обязательств </w:t>
        <w:br/>
        <w:t>по внесению предварительной оплаты (аванса). В случае нарушения Покупателем срока выплаты авансового платежа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9"/>
          <w:tab w:val="left" w:pos="1134" w:leader="none"/>
        </w:tabs>
        <w:ind w:left="0" w:firstLine="709"/>
        <w:jc w:val="both"/>
        <w:rPr>
          <w:bCs/>
          <w:sz w:val="24"/>
          <w:szCs w:val="24"/>
        </w:rPr>
      </w:pPr>
      <w:r>
        <w:rPr>
          <w:bCs/>
          <w:sz w:val="24"/>
          <w:szCs w:val="24"/>
        </w:rPr>
        <w:t>В случае нарушения Покупателем сроков оплаты, установленных разделом 2 Договора (за исключением срока оплаты авансового платежа),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widowControl/>
        <w:numPr>
          <w:ilvl w:val="1"/>
          <w:numId w:val="2"/>
        </w:numPr>
        <w:tabs>
          <w:tab w:val="clear" w:pos="709"/>
          <w:tab w:val="left" w:pos="1134" w:leader="none"/>
        </w:tabs>
        <w:ind w:left="0" w:firstLine="709"/>
        <w:jc w:val="both"/>
        <w:rPr>
          <w:bCs/>
          <w:sz w:val="24"/>
          <w:szCs w:val="24"/>
        </w:rPr>
      </w:pPr>
      <w:r>
        <w:rPr>
          <w:bCs/>
          <w:sz w:val="24"/>
          <w:szCs w:val="24"/>
        </w:rPr>
        <w:t xml:space="preserve">В случае </w:t>
      </w:r>
      <w:r>
        <w:rPr>
          <w:sz w:val="24"/>
          <w:szCs w:val="24"/>
        </w:rPr>
        <w:t>нарушения Поставщиком обязательств по поставке Товара (</w:t>
      </w:r>
      <w:r>
        <w:rPr>
          <w:rFonts w:eastAsia="Calibri"/>
          <w:bCs/>
          <w:sz w:val="24"/>
          <w:szCs w:val="24"/>
        </w:rPr>
        <w:t>нарушение срока поставки, недопоставка)</w:t>
      </w:r>
      <w:r>
        <w:rPr>
          <w:sz w:val="24"/>
          <w:szCs w:val="24"/>
        </w:rPr>
        <w:t>, а также в случае несвоевременного устранения выявленных недостатков Товара, Покупатель вправе требовать уплаты Поставщиком:</w:t>
      </w:r>
    </w:p>
    <w:p>
      <w:pPr>
        <w:pStyle w:val="ListParagraph"/>
        <w:widowControl/>
        <w:numPr>
          <w:ilvl w:val="2"/>
          <w:numId w:val="2"/>
        </w:numPr>
        <w:tabs>
          <w:tab w:val="clear" w:pos="709"/>
          <w:tab w:val="left" w:pos="1418" w:leader="none"/>
          <w:tab w:val="left" w:pos="1701" w:leader="none"/>
          <w:tab w:val="left" w:pos="1985" w:leader="none"/>
        </w:tabs>
        <w:ind w:left="0" w:firstLine="709"/>
        <w:jc w:val="both"/>
        <w:rPr>
          <w:bCs/>
          <w:sz w:val="24"/>
          <w:szCs w:val="24"/>
        </w:rPr>
      </w:pPr>
      <w:r>
        <w:rPr>
          <w:rFonts w:eastAsia="Calibri"/>
          <w:bCs/>
          <w:sz w:val="24"/>
          <w:szCs w:val="24"/>
        </w:rPr>
        <w:t xml:space="preserve">Неустойки в размере 0,1 (ноль целых и одна десятая) </w:t>
      </w:r>
      <w:r>
        <w:rPr>
          <w:bCs/>
          <w:sz w:val="24"/>
          <w:szCs w:val="24"/>
        </w:rPr>
        <w:t>процента от цены</w:t>
      </w:r>
      <w:r>
        <w:rPr>
          <w:rFonts w:eastAsia="Calibri"/>
          <w:bCs/>
          <w:sz w:val="24"/>
          <w:szCs w:val="24"/>
        </w:rPr>
        <w:t xml:space="preserve"> Товара</w:t>
      </w:r>
      <w:r>
        <w:rPr>
          <w:bCs/>
          <w:sz w:val="24"/>
          <w:szCs w:val="24"/>
        </w:rPr>
        <w:t xml:space="preserve"> за каждый день просрочки;</w:t>
      </w:r>
    </w:p>
    <w:p>
      <w:pPr>
        <w:pStyle w:val="ListParagraph"/>
        <w:widowControl/>
        <w:numPr>
          <w:ilvl w:val="2"/>
          <w:numId w:val="2"/>
        </w:numPr>
        <w:tabs>
          <w:tab w:val="clear" w:pos="709"/>
          <w:tab w:val="left" w:pos="1418" w:leader="none"/>
          <w:tab w:val="left" w:pos="1701" w:leader="none"/>
          <w:tab w:val="left" w:pos="1985" w:leader="none"/>
        </w:tabs>
        <w:ind w:left="0" w:firstLine="709"/>
        <w:jc w:val="both"/>
        <w:rPr>
          <w:bCs/>
          <w:sz w:val="24"/>
          <w:szCs w:val="24"/>
        </w:rPr>
      </w:pPr>
      <w:r>
        <w:rPr>
          <w:bCs/>
          <w:sz w:val="24"/>
          <w:szCs w:val="24"/>
        </w:rPr>
        <w:t xml:space="preserve">Неустойки в размере 0,1 </w:t>
      </w:r>
      <w:r>
        <w:rPr>
          <w:sz w:val="24"/>
          <w:szCs w:val="24"/>
        </w:rPr>
        <w:t>(ноль целых и одна десятая) процента</w:t>
      </w:r>
      <w:r>
        <w:rPr>
          <w:bCs/>
          <w:sz w:val="24"/>
          <w:szCs w:val="24"/>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r>
        <w:rPr>
          <w:rFonts w:eastAsia="Calibri"/>
          <w:bCs/>
          <w:sz w:val="24"/>
          <w:szCs w:val="24"/>
        </w:rPr>
        <w:t>;</w:t>
      </w:r>
    </w:p>
    <w:p>
      <w:pPr>
        <w:pStyle w:val="ListParagraph"/>
        <w:widowControl/>
        <w:numPr>
          <w:ilvl w:val="2"/>
          <w:numId w:val="2"/>
        </w:numPr>
        <w:tabs>
          <w:tab w:val="clear" w:pos="709"/>
          <w:tab w:val="left" w:pos="1418" w:leader="none"/>
          <w:tab w:val="left" w:pos="1701" w:leader="none"/>
          <w:tab w:val="left" w:pos="1985" w:leader="none"/>
        </w:tabs>
        <w:ind w:left="0" w:firstLine="709"/>
        <w:jc w:val="both"/>
        <w:rPr>
          <w:bCs/>
          <w:sz w:val="24"/>
          <w:szCs w:val="24"/>
        </w:rPr>
      </w:pPr>
      <w:r>
        <w:rPr>
          <w:bCs/>
          <w:sz w:val="24"/>
          <w:szCs w:val="24"/>
        </w:rPr>
        <w:t xml:space="preserve">Неустойки в размере 0,1 </w:t>
      </w:r>
      <w:r>
        <w:rPr>
          <w:sz w:val="24"/>
          <w:szCs w:val="24"/>
        </w:rPr>
        <w:t>(ноль целых и одна десятая) процента</w:t>
      </w:r>
      <w:r>
        <w:rPr>
          <w:bCs/>
          <w:sz w:val="24"/>
          <w:szCs w:val="24"/>
        </w:rPr>
        <w:t xml:space="preserve"> от стоимости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w:t>
      </w:r>
    </w:p>
    <w:p>
      <w:pPr>
        <w:pStyle w:val="ListParagraph"/>
        <w:widowControl/>
        <w:numPr>
          <w:ilvl w:val="1"/>
          <w:numId w:val="2"/>
        </w:numPr>
        <w:tabs>
          <w:tab w:val="clear" w:pos="709"/>
          <w:tab w:val="left" w:pos="1134" w:leader="none"/>
          <w:tab w:val="left" w:pos="1701" w:leader="none"/>
        </w:tabs>
        <w:ind w:left="0" w:firstLine="709"/>
        <w:jc w:val="both"/>
        <w:rPr>
          <w:sz w:val="24"/>
          <w:szCs w:val="24"/>
        </w:rPr>
      </w:pPr>
      <w:r>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sz w:val="24"/>
          <w:szCs w:val="24"/>
        </w:rPr>
        <w:t>.</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9"/>
          <w:tab w:val="left" w:pos="1134" w:leader="none"/>
        </w:tabs>
        <w:ind w:left="0" w:firstLine="709"/>
        <w:jc w:val="both"/>
        <w:rPr/>
      </w:pPr>
      <w:r>
        <w:rPr>
          <w:bCs/>
          <w:sz w:val="24"/>
          <w:szCs w:val="24"/>
        </w:rPr>
        <w:t>В случае нарушения Поставщиком сроков предоставления счетов-фактур,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bCs/>
          <w:sz w:val="24"/>
          <w:szCs w:val="24"/>
        </w:rPr>
        <w:t xml:space="preserve">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sz w:val="24"/>
          <w:szCs w:val="24"/>
          <w:lang w:val="en-US"/>
        </w:rPr>
        <w:t>3</w:t>
      </w:r>
      <w:r>
        <w:rPr>
          <w:bCs/>
          <w:sz w:val="24"/>
          <w:szCs w:val="24"/>
        </w:rPr>
        <w:t>.</w:t>
      </w:r>
      <w:r>
        <w:rPr>
          <w:bCs/>
          <w:sz w:val="24"/>
          <w:szCs w:val="24"/>
          <w:lang w:val="en-US"/>
        </w:rPr>
        <w:t>6</w:t>
      </w:r>
      <w:r>
        <w:rPr>
          <w:bCs/>
          <w:sz w:val="24"/>
          <w:szCs w:val="24"/>
        </w:rPr>
        <w:t xml:space="preserve">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9"/>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clear" w:pos="709"/>
          <w:tab w:val="left" w:pos="567" w:leader="none"/>
          <w:tab w:val="left" w:pos="1134" w:leader="none"/>
        </w:tabs>
        <w:ind w:firstLine="709"/>
        <w:jc w:val="both"/>
        <w:rPr>
          <w:color w:val="000000"/>
          <w:sz w:val="24"/>
          <w:szCs w:val="24"/>
        </w:rPr>
      </w:pPr>
      <w:r>
        <w:rPr>
          <w:color w:val="000000"/>
          <w:sz w:val="24"/>
          <w:szCs w:val="24"/>
        </w:rPr>
        <w:t xml:space="preserve">8.7.  Каналы связи Линия доверия Группы РусГидро: </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9"/>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9"/>
          <w:tab w:val="left" w:pos="426" w:leader="none"/>
        </w:tabs>
        <w:spacing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9"/>
          <w:tab w:val="left" w:pos="1134" w:leader="none"/>
        </w:tabs>
        <w:ind w:firstLine="709"/>
        <w:jc w:val="both"/>
        <w:rPr>
          <w:bCs/>
          <w:sz w:val="24"/>
          <w:szCs w:val="24"/>
        </w:rPr>
      </w:pPr>
      <w:r>
        <w:rPr>
          <w:bCs/>
          <w:sz w:val="24"/>
          <w:szCs w:val="24"/>
        </w:rPr>
      </w:r>
    </w:p>
    <w:p>
      <w:pPr>
        <w:pStyle w:val="ListParagraph"/>
        <w:widowControl/>
        <w:numPr>
          <w:ilvl w:val="0"/>
          <w:numId w:val="2"/>
        </w:numPr>
        <w:shd w:val="clear" w:color="auto" w:fill="FFFFFF"/>
        <w:tabs>
          <w:tab w:val="clear" w:pos="709"/>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9"/>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9"/>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9"/>
          <w:tab w:val="left" w:pos="1134" w:leader="none"/>
          <w:tab w:val="left" w:pos="1418" w:leader="none"/>
        </w:tabs>
        <w:ind w:left="0" w:hanging="0"/>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13.6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9"/>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9"/>
          <w:tab w:val="left" w:pos="1134" w:leader="none"/>
        </w:tabs>
        <w:ind w:left="0" w:hanging="0"/>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snapToGrid w:val="false"/>
        <w:ind w:left="0" w:firstLine="709"/>
        <w:jc w:val="both"/>
        <w:rPr/>
      </w:pPr>
      <w:r>
        <w:rPr>
          <w:sz w:val="24"/>
          <w:szCs w:val="24"/>
        </w:rPr>
        <w:t>Договор заключается в электронной форме с</w:t>
      </w:r>
      <w:r>
        <w:rPr>
          <w:i/>
          <w:sz w:val="24"/>
          <w:szCs w:val="24"/>
        </w:rPr>
        <w:t xml:space="preserve"> </w:t>
      </w:r>
      <w:r>
        <w:rPr>
          <w:sz w:val="24"/>
          <w:szCs w:val="24"/>
        </w:rPr>
        <w:t xml:space="preserve">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widowControl/>
        <w:shd w:val="clear" w:color="auto" w:fill="FFFFFF"/>
        <w:tabs>
          <w:tab w:val="clear" w:pos="709"/>
          <w:tab w:val="left" w:pos="0" w:leader="none"/>
        </w:tabs>
        <w:ind w:firstLine="709"/>
        <w:jc w:val="both"/>
        <w:rPr/>
      </w:pPr>
      <w:r>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shd w:val="clear" w:color="auto" w:fill="FFFFFF"/>
        <w:tabs>
          <w:tab w:val="clear" w:pos="709"/>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9"/>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widowControl/>
        <w:numPr>
          <w:ilvl w:val="1"/>
          <w:numId w:val="2"/>
        </w:numPr>
        <w:tabs>
          <w:tab w:val="clear" w:pos="709"/>
          <w:tab w:val="left" w:pos="0" w:leader="none"/>
          <w:tab w:val="left" w:pos="1418" w:leader="none"/>
        </w:tabs>
        <w:ind w:left="0" w:firstLine="709"/>
        <w:jc w:val="both"/>
        <w:rPr>
          <w:bCs/>
          <w:sz w:val="24"/>
          <w:szCs w:val="24"/>
        </w:rPr>
      </w:pPr>
      <w:r>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pPr>
        <w:pStyle w:val="Normal"/>
        <w:ind w:firstLine="709"/>
        <w:jc w:val="both"/>
        <w:rPr>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r>
        <w:rPr>
          <w:sz w:val="24"/>
          <w:szCs w:val="24"/>
        </w:rPr>
        <w:t xml:space="preserve">.  </w:t>
      </w:r>
    </w:p>
    <w:p>
      <w:pPr>
        <w:pStyle w:val="ListParagraph"/>
        <w:numPr>
          <w:ilvl w:val="1"/>
          <w:numId w:val="2"/>
        </w:numPr>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9"/>
          <w:tab w:val="left" w:pos="284" w:leader="none"/>
        </w:tabs>
        <w:spacing w:before="0" w:after="0"/>
        <w:ind w:left="0" w:hanging="36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9"/>
          <w:tab w:val="left" w:pos="0" w:leader="none"/>
        </w:tabs>
        <w:ind w:firstLine="709"/>
        <w:jc w:val="both"/>
        <w:rPr>
          <w:rFonts w:eastAsia="Calibri"/>
          <w:sz w:val="24"/>
          <w:szCs w:val="24"/>
          <w:lang w:eastAsia="en-US"/>
        </w:rPr>
      </w:pPr>
      <w:bookmarkStart w:id="10" w:name="sub_1"/>
      <w:r>
        <w:rPr>
          <w:rFonts w:eastAsia="Calibri"/>
          <w:sz w:val="24"/>
          <w:szCs w:val="24"/>
          <w:lang w:eastAsia="en-US"/>
        </w:rPr>
        <w:t>Приложение № 1 – Спецификация.</w:t>
      </w:r>
    </w:p>
    <w:p>
      <w:pPr>
        <w:pStyle w:val="Normal"/>
        <w:widowControl/>
        <w:shd w:val="clear" w:color="auto" w:fill="FFFFFF"/>
        <w:tabs>
          <w:tab w:val="clear" w:pos="709"/>
          <w:tab w:val="left" w:pos="0" w:leader="none"/>
          <w:tab w:val="left" w:pos="2694" w:leader="none"/>
        </w:tabs>
        <w:ind w:firstLine="709"/>
        <w:jc w:val="both"/>
        <w:rPr>
          <w:rFonts w:eastAsia="Calibri"/>
          <w:sz w:val="24"/>
          <w:szCs w:val="24"/>
          <w:lang w:eastAsia="en-US"/>
        </w:rPr>
      </w:pPr>
      <w:r>
        <w:rPr>
          <w:rFonts w:eastAsia="Calibri"/>
          <w:sz w:val="24"/>
          <w:szCs w:val="24"/>
          <w:lang w:eastAsia="en-US"/>
        </w:rPr>
        <w:t xml:space="preserve">Приложение № 2 – </w:t>
      </w:r>
      <w:r>
        <w:rPr>
          <w:sz w:val="24"/>
          <w:szCs w:val="24"/>
          <w:lang w:eastAsia="x-none"/>
        </w:rPr>
        <w:t>Технические требования.</w:t>
      </w:r>
      <w:bookmarkEnd w:id="10"/>
    </w:p>
    <w:p>
      <w:pPr>
        <w:pStyle w:val="Normal"/>
        <w:ind w:firstLine="709"/>
        <w:jc w:val="both"/>
        <w:rPr>
          <w:bCs/>
          <w:sz w:val="24"/>
          <w:szCs w:val="24"/>
        </w:rPr>
      </w:pPr>
      <w:r>
        <w:rPr>
          <w:bCs/>
          <w:sz w:val="24"/>
          <w:szCs w:val="24"/>
        </w:rPr>
        <w:t xml:space="preserve">Приложение № 3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ind w:firstLine="709"/>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9"/>
          <w:tab w:val="left" w:pos="426" w:leader="none"/>
        </w:tabs>
        <w:ind w:left="0" w:hanging="0"/>
        <w:rPr>
          <w:b/>
          <w:bCs/>
          <w:sz w:val="24"/>
          <w:szCs w:val="24"/>
        </w:rPr>
      </w:pPr>
      <w:r>
        <w:rPr>
          <w:b/>
          <w:bCs/>
          <w:sz w:val="24"/>
          <w:szCs w:val="24"/>
        </w:rPr>
      </w:r>
    </w:p>
    <w:tbl>
      <w:tblPr>
        <w:tblW w:w="9890"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75"/>
        <w:gridCol w:w="153"/>
        <w:gridCol w:w="4633"/>
        <w:gridCol w:w="329"/>
      </w:tblGrid>
      <w:tr>
        <w:trPr/>
        <w:tc>
          <w:tcPr>
            <w:tcW w:w="4928" w:type="dxa"/>
            <w:gridSpan w:val="2"/>
            <w:tcBorders/>
          </w:tcPr>
          <w:p>
            <w:pPr>
              <w:pStyle w:val="Normal"/>
              <w:widowControl w:val="false"/>
              <w:rPr>
                <w:sz w:val="24"/>
                <w:szCs w:val="24"/>
              </w:rPr>
            </w:pPr>
            <w:r>
              <w:rPr>
                <w:sz w:val="24"/>
                <w:szCs w:val="24"/>
              </w:rPr>
              <w:t>ПОКУПАТЕЛЬ:</w:t>
            </w:r>
          </w:p>
        </w:tc>
        <w:tc>
          <w:tcPr>
            <w:tcW w:w="4962" w:type="dxa"/>
            <w:gridSpan w:val="2"/>
            <w:tcBorders/>
          </w:tcPr>
          <w:p>
            <w:pPr>
              <w:pStyle w:val="Normal"/>
              <w:widowControl w:val="false"/>
              <w:rPr>
                <w:sz w:val="24"/>
                <w:szCs w:val="24"/>
              </w:rPr>
            </w:pPr>
            <w:r>
              <w:rPr>
                <w:sz w:val="24"/>
                <w:szCs w:val="24"/>
              </w:rPr>
              <w:t>ПОСТАВЩИК:</w:t>
            </w:r>
          </w:p>
        </w:tc>
      </w:tr>
      <w:tr>
        <w:trPr/>
        <w:tc>
          <w:tcPr>
            <w:tcW w:w="4928" w:type="dxa"/>
            <w:gridSpan w:val="2"/>
            <w:tcBorders/>
            <w:shd w:color="auto" w:fill="BFBFBF"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Публичное акционерное общество</w:t>
            </w:r>
          </w:p>
          <w:p>
            <w:pPr>
              <w:pStyle w:val="Normal"/>
              <w:widowControl w:val="false"/>
              <w:rPr>
                <w:sz w:val="24"/>
                <w:szCs w:val="24"/>
              </w:rPr>
            </w:pPr>
            <w:r>
              <w:rPr>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Местонахождение: 660049, Красноярский край, г.о.  Красноярск, г. Красноярск, ул. Перенсона, зд. 2а, помещ. 1</w:t>
            </w:r>
          </w:p>
          <w:p>
            <w:pPr>
              <w:pStyle w:val="Normal"/>
              <w:widowControl w:val="false"/>
              <w:rPr>
                <w:sz w:val="24"/>
                <w:szCs w:val="24"/>
              </w:rPr>
            </w:pPr>
            <w:r>
              <w:rPr>
                <w:sz w:val="24"/>
                <w:szCs w:val="24"/>
              </w:rPr>
              <w:t xml:space="preserve">Наименование филиала: </w:t>
            </w:r>
          </w:p>
          <w:p>
            <w:pPr>
              <w:pStyle w:val="Normal"/>
              <w:widowControl w:val="false"/>
              <w:rPr>
                <w:sz w:val="24"/>
                <w:szCs w:val="24"/>
              </w:rPr>
            </w:pPr>
            <w:r>
              <w:rPr>
                <w:sz w:val="24"/>
                <w:szCs w:val="24"/>
              </w:rPr>
              <w:t>Филиал ПАО «РусГидро» - «Камская ГЭС»</w:t>
            </w:r>
          </w:p>
          <w:p>
            <w:pPr>
              <w:pStyle w:val="Normal"/>
              <w:widowControl w:val="false"/>
              <w:rPr>
                <w:sz w:val="24"/>
                <w:szCs w:val="24"/>
              </w:rPr>
            </w:pPr>
            <w:r>
              <w:rPr>
                <w:sz w:val="24"/>
                <w:szCs w:val="24"/>
              </w:rPr>
              <w:t xml:space="preserve">Местонахождение филиала: </w:t>
            </w:r>
          </w:p>
          <w:p>
            <w:pPr>
              <w:pStyle w:val="Normal"/>
              <w:widowControl w:val="false"/>
              <w:rPr>
                <w:sz w:val="24"/>
                <w:szCs w:val="24"/>
              </w:rPr>
            </w:pPr>
            <w:r>
              <w:rPr>
                <w:sz w:val="24"/>
                <w:szCs w:val="24"/>
              </w:rPr>
              <w:t>г. Пермь, ул. Соликамская, д.329</w:t>
            </w:r>
          </w:p>
          <w:p>
            <w:pPr>
              <w:pStyle w:val="Normal"/>
              <w:widowControl w:val="false"/>
              <w:rPr>
                <w:sz w:val="24"/>
                <w:szCs w:val="24"/>
              </w:rPr>
            </w:pPr>
            <w:r>
              <w:rPr>
                <w:sz w:val="24"/>
                <w:szCs w:val="24"/>
              </w:rPr>
              <w:t>Почтовый адрес филиала:</w:t>
            </w:r>
          </w:p>
          <w:p>
            <w:pPr>
              <w:pStyle w:val="Normal"/>
              <w:widowControl w:val="false"/>
              <w:rPr>
                <w:sz w:val="24"/>
                <w:szCs w:val="24"/>
              </w:rPr>
            </w:pPr>
            <w:r>
              <w:rPr>
                <w:sz w:val="24"/>
                <w:szCs w:val="24"/>
              </w:rPr>
              <w:t>614030, г. Пермь, Камская ГЭС</w:t>
            </w:r>
          </w:p>
          <w:p>
            <w:pPr>
              <w:pStyle w:val="Normal"/>
              <w:widowControl w:val="false"/>
              <w:rPr>
                <w:sz w:val="24"/>
                <w:szCs w:val="24"/>
              </w:rPr>
            </w:pPr>
            <w:r>
              <w:rPr>
                <w:sz w:val="24"/>
                <w:szCs w:val="24"/>
              </w:rPr>
              <w:t>ИНН 2460066195/КПП 590702001</w:t>
            </w:r>
          </w:p>
          <w:p>
            <w:pPr>
              <w:pStyle w:val="Normal"/>
              <w:widowControl w:val="false"/>
              <w:rPr>
                <w:sz w:val="24"/>
                <w:szCs w:val="24"/>
              </w:rPr>
            </w:pPr>
            <w:r>
              <w:rPr>
                <w:sz w:val="24"/>
                <w:szCs w:val="24"/>
              </w:rPr>
              <w:t>Расчетный счет 40702810800000060254    </w:t>
            </w:r>
          </w:p>
          <w:p>
            <w:pPr>
              <w:pStyle w:val="Normal"/>
              <w:widowControl w:val="false"/>
              <w:rPr>
                <w:sz w:val="24"/>
                <w:szCs w:val="24"/>
              </w:rPr>
            </w:pPr>
            <w:r>
              <w:rPr>
                <w:sz w:val="24"/>
                <w:szCs w:val="24"/>
              </w:rPr>
              <w:t xml:space="preserve">Банка ГПБ (АО), г. Москва (ИНН 7744001497, </w:t>
            </w:r>
          </w:p>
          <w:p>
            <w:pPr>
              <w:pStyle w:val="Normal"/>
              <w:widowControl w:val="false"/>
              <w:rPr>
                <w:sz w:val="24"/>
                <w:szCs w:val="24"/>
              </w:rPr>
            </w:pPr>
            <w:r>
              <w:rPr>
                <w:sz w:val="24"/>
                <w:szCs w:val="24"/>
              </w:rPr>
              <w:t>КПП 997950001)</w:t>
            </w:r>
          </w:p>
          <w:p>
            <w:pPr>
              <w:pStyle w:val="Normal"/>
              <w:widowControl w:val="false"/>
              <w:rPr>
                <w:sz w:val="24"/>
                <w:szCs w:val="24"/>
              </w:rPr>
            </w:pPr>
            <w:r>
              <w:rPr>
                <w:sz w:val="24"/>
                <w:szCs w:val="24"/>
              </w:rPr>
              <w:t>К/с 30101810200000000823 в ГУ Банка России по ЦФО    </w:t>
            </w:r>
          </w:p>
          <w:p>
            <w:pPr>
              <w:pStyle w:val="Normal"/>
              <w:widowControl w:val="false"/>
              <w:rPr>
                <w:sz w:val="24"/>
                <w:szCs w:val="24"/>
              </w:rPr>
            </w:pPr>
            <w:r>
              <w:rPr>
                <w:sz w:val="24"/>
                <w:szCs w:val="24"/>
              </w:rPr>
              <w:t>БИК 044 525 823</w:t>
            </w:r>
          </w:p>
          <w:p>
            <w:pPr>
              <w:pStyle w:val="Normal"/>
              <w:widowControl w:val="false"/>
              <w:rPr>
                <w:sz w:val="24"/>
                <w:szCs w:val="24"/>
              </w:rPr>
            </w:pPr>
            <w:r>
              <w:rPr>
                <w:sz w:val="24"/>
                <w:szCs w:val="24"/>
              </w:rPr>
              <w:t>ОКПО 83271699</w:t>
            </w:r>
          </w:p>
          <w:p>
            <w:pPr>
              <w:pStyle w:val="Normal"/>
              <w:widowControl w:val="false"/>
              <w:rPr>
                <w:sz w:val="24"/>
                <w:szCs w:val="24"/>
              </w:rPr>
            </w:pPr>
            <w:r>
              <w:rPr>
                <w:sz w:val="24"/>
                <w:szCs w:val="24"/>
              </w:rPr>
              <w:t>ОГРН 1042401810494</w:t>
            </w:r>
          </w:p>
          <w:p>
            <w:pPr>
              <w:pStyle w:val="Normal"/>
              <w:widowControl w:val="false"/>
              <w:rPr>
                <w:sz w:val="24"/>
                <w:szCs w:val="24"/>
              </w:rPr>
            </w:pPr>
            <w:r>
              <w:rPr>
                <w:sz w:val="24"/>
                <w:szCs w:val="24"/>
              </w:rPr>
              <w:t>Тел.: + 7 (342) 274-54-54</w:t>
            </w:r>
          </w:p>
          <w:p>
            <w:pPr>
              <w:pStyle w:val="Normal"/>
              <w:widowControl w:val="false"/>
              <w:rPr>
                <w:sz w:val="24"/>
                <w:szCs w:val="24"/>
              </w:rPr>
            </w:pPr>
            <w:r>
              <w:rPr>
                <w:sz w:val="24"/>
                <w:szCs w:val="24"/>
              </w:rPr>
            </w:r>
          </w:p>
          <w:p>
            <w:pPr>
              <w:pStyle w:val="Normal"/>
              <w:widowControl w:val="false"/>
              <w:rPr>
                <w:sz w:val="24"/>
                <w:szCs w:val="24"/>
              </w:rPr>
            </w:pPr>
            <w:r>
              <w:rPr>
                <w:sz w:val="24"/>
                <w:szCs w:val="24"/>
              </w:rPr>
            </w:r>
          </w:p>
        </w:tc>
        <w:tc>
          <w:tcPr>
            <w:tcW w:w="4962" w:type="dxa"/>
            <w:gridSpan w:val="2"/>
            <w:tcBorders/>
            <w:shd w:color="auto" w:fill="BFBFBF" w:val="clear"/>
          </w:tcPr>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юридического лица)</w:t>
            </w:r>
          </w:p>
          <w:p>
            <w:pPr>
              <w:pStyle w:val="Normal"/>
              <w:widowControl w:val="false"/>
              <w:rPr>
                <w:sz w:val="24"/>
                <w:szCs w:val="24"/>
              </w:rPr>
            </w:pPr>
            <w:r>
              <w:rPr>
                <w:sz w:val="24"/>
                <w:szCs w:val="24"/>
              </w:rPr>
            </w:r>
          </w:p>
          <w:p>
            <w:pPr>
              <w:pStyle w:val="Normal"/>
              <w:widowControl w:val="false"/>
              <w:rPr>
                <w:sz w:val="24"/>
                <w:szCs w:val="24"/>
              </w:rPr>
            </w:pPr>
            <w:r>
              <w:rPr>
                <w:sz w:val="24"/>
                <w:szCs w:val="24"/>
              </w:rPr>
              <w:t>Место нахождения:</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Почтовый адрес:</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ОГРН ___________________________</w:t>
            </w:r>
          </w:p>
          <w:p>
            <w:pPr>
              <w:pStyle w:val="Normal"/>
              <w:widowControl w:val="false"/>
              <w:rPr>
                <w:sz w:val="24"/>
                <w:szCs w:val="24"/>
              </w:rPr>
            </w:pPr>
            <w:r>
              <w:rPr>
                <w:sz w:val="24"/>
                <w:szCs w:val="24"/>
              </w:rPr>
              <w:t>ИНН ____________ / КПП___________</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расчетного счета)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банка, в котором</w:t>
            </w:r>
          </w:p>
          <w:p>
            <w:pPr>
              <w:pStyle w:val="Normal"/>
              <w:widowControl w:val="false"/>
              <w:rPr>
                <w:sz w:val="24"/>
                <w:szCs w:val="24"/>
              </w:rPr>
            </w:pPr>
            <w:r>
              <w:rPr>
                <w:sz w:val="24"/>
                <w:szCs w:val="24"/>
              </w:rPr>
              <w:t>открыт расчетный счет)</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корреспондентского счета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(БИК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телефона)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факса)</w:t>
            </w:r>
          </w:p>
          <w:p>
            <w:pPr>
              <w:pStyle w:val="Normal"/>
              <w:widowControl w:val="false"/>
              <w:rPr>
                <w:sz w:val="24"/>
                <w:szCs w:val="24"/>
              </w:rPr>
            </w:pPr>
            <w:r>
              <w:rPr>
                <w:sz w:val="24"/>
                <w:szCs w:val="24"/>
              </w:rPr>
            </w:r>
          </w:p>
        </w:tc>
      </w:tr>
      <w:tr>
        <w:trPr/>
        <w:tc>
          <w:tcPr>
            <w:tcW w:w="4775" w:type="dxa"/>
            <w:tcBorders/>
          </w:tcPr>
          <w:p>
            <w:pPr>
              <w:pStyle w:val="Normal"/>
              <w:widowControl w:val="false"/>
              <w:rPr>
                <w:sz w:val="24"/>
                <w:szCs w:val="24"/>
              </w:rPr>
            </w:pPr>
            <w:r>
              <w:rPr>
                <w:sz w:val="24"/>
                <w:szCs w:val="24"/>
              </w:rPr>
              <w:t xml:space="preserve">_______________ / _______________ </w:t>
            </w:r>
          </w:p>
          <w:p>
            <w:pPr>
              <w:pStyle w:val="Normal"/>
              <w:widowControl w:val="false"/>
              <w:rPr>
                <w:sz w:val="24"/>
                <w:szCs w:val="24"/>
              </w:rPr>
            </w:pPr>
            <w:r>
              <w:rPr>
                <w:sz w:val="24"/>
                <w:szCs w:val="24"/>
              </w:rPr>
            </w:r>
          </w:p>
        </w:tc>
        <w:tc>
          <w:tcPr>
            <w:tcW w:w="4786" w:type="dxa"/>
            <w:gridSpan w:val="2"/>
            <w:tcBorders/>
          </w:tcPr>
          <w:p>
            <w:pPr>
              <w:pStyle w:val="Normal"/>
              <w:widowControl w:val="false"/>
              <w:rPr>
                <w:sz w:val="24"/>
                <w:szCs w:val="24"/>
              </w:rPr>
            </w:pPr>
            <w:r>
              <w:rPr>
                <w:sz w:val="24"/>
                <w:szCs w:val="24"/>
              </w:rPr>
              <w:t xml:space="preserve">_______________ / _______________ </w:t>
            </w:r>
          </w:p>
        </w:tc>
        <w:tc>
          <w:tcPr>
            <w:tcW w:w="329" w:type="dxa"/>
            <w:tcBorders/>
          </w:tcPr>
          <w:p>
            <w:pPr>
              <w:pStyle w:val="Normal"/>
              <w:widowControl w:val="false"/>
              <w:rPr/>
            </w:pPr>
            <w:r>
              <w:rPr/>
            </w:r>
          </w:p>
        </w:tc>
      </w:tr>
    </w:tbl>
    <w:p>
      <w:pPr>
        <w:sectPr>
          <w:headerReference w:type="default" r:id="rId5"/>
          <w:headerReference w:type="first" r:id="rId6"/>
          <w:footerReference w:type="default" r:id="rId7"/>
          <w:type w:val="nextPage"/>
          <w:pgSz w:w="11906" w:h="16838"/>
          <w:pgMar w:left="1418" w:right="851" w:gutter="0" w:header="709" w:top="1134" w:footer="709" w:bottom="2268"/>
          <w:pgNumType w:fmt="decimal"/>
          <w:formProt w:val="false"/>
          <w:titlePg/>
          <w:textDirection w:val="lrTb"/>
          <w:docGrid w:type="default" w:linePitch="360" w:charSpace="0"/>
        </w:sectPr>
      </w:pPr>
    </w:p>
    <w:p>
      <w:pPr>
        <w:pStyle w:val="Normal"/>
        <w:suppressAutoHyphens w:val="true"/>
        <w:ind w:left="5103" w:hanging="0"/>
        <w:rPr>
          <w:sz w:val="22"/>
          <w:szCs w:val="22"/>
        </w:rPr>
      </w:pPr>
      <w:r>
        <w:rPr>
          <w:sz w:val="22"/>
          <w:szCs w:val="22"/>
        </w:rPr>
        <w:t>Приложение № 1</w:t>
      </w:r>
    </w:p>
    <w:p>
      <w:pPr>
        <w:pStyle w:val="Normal"/>
        <w:suppressAutoHyphens w:val="true"/>
        <w:ind w:left="5103" w:hanging="0"/>
        <w:rPr>
          <w:sz w:val="22"/>
          <w:szCs w:val="22"/>
        </w:rPr>
      </w:pPr>
      <w:r>
        <w:rPr>
          <w:sz w:val="22"/>
          <w:szCs w:val="22"/>
        </w:rPr>
        <w:t>к Договору поставки</w:t>
      </w:r>
    </w:p>
    <w:p>
      <w:pPr>
        <w:pStyle w:val="Normal"/>
        <w:suppressAutoHyphens w:val="true"/>
        <w:ind w:left="5103" w:hanging="0"/>
        <w:rPr>
          <w:sz w:val="22"/>
          <w:szCs w:val="22"/>
        </w:rPr>
      </w:pPr>
      <w:r>
        <w:rPr>
          <w:sz w:val="22"/>
          <w:szCs w:val="22"/>
        </w:rPr>
        <w:t xml:space="preserve">от «____» ________ 20 _ г. № </w:t>
      </w:r>
    </w:p>
    <w:p>
      <w:pPr>
        <w:pStyle w:val="Normal"/>
        <w:widowControl/>
        <w:suppressAutoHyphens w:val="true"/>
        <w:jc w:val="right"/>
        <w:rPr>
          <w:rFonts w:eastAsia="Calibri"/>
          <w:b/>
          <w:sz w:val="24"/>
          <w:szCs w:val="24"/>
          <w:lang w:eastAsia="en-US"/>
        </w:rPr>
      </w:pPr>
      <w:r>
        <w:rPr>
          <w:rFonts w:eastAsia="Calibri"/>
          <w:b/>
          <w:sz w:val="24"/>
          <w:szCs w:val="24"/>
          <w:lang w:eastAsia="en-US"/>
        </w:rPr>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СПЕЦИФИКАЦИЯ </w:t>
      </w:r>
    </w:p>
    <w:p>
      <w:pPr>
        <w:pStyle w:val="Normal"/>
        <w:jc w:val="center"/>
        <w:rPr>
          <w:b/>
          <w:sz w:val="24"/>
          <w:szCs w:val="24"/>
        </w:rPr>
      </w:pPr>
      <w:r>
        <w:rPr>
          <w:b/>
          <w:sz w:val="24"/>
          <w:szCs w:val="24"/>
        </w:rPr>
      </w:r>
    </w:p>
    <w:tbl>
      <w:tblPr>
        <w:tblW w:w="5000" w:type="pct"/>
        <w:jc w:val="left"/>
        <w:tblInd w:w="-714" w:type="dxa"/>
        <w:tblLayout w:type="fixed"/>
        <w:tblCellMar>
          <w:top w:w="0" w:type="dxa"/>
          <w:left w:w="108" w:type="dxa"/>
          <w:bottom w:w="0" w:type="dxa"/>
          <w:right w:w="108" w:type="dxa"/>
        </w:tblCellMar>
        <w:tblLook w:val="04a0" w:noHBand="0" w:noVBand="1" w:firstColumn="1" w:lastRow="0" w:lastColumn="0" w:firstRow="1"/>
      </w:tblPr>
      <w:tblGrid>
        <w:gridCol w:w="452"/>
        <w:gridCol w:w="393"/>
        <w:gridCol w:w="602"/>
        <w:gridCol w:w="611"/>
        <w:gridCol w:w="612"/>
        <w:gridCol w:w="777"/>
        <w:gridCol w:w="724"/>
        <w:gridCol w:w="624"/>
        <w:gridCol w:w="731"/>
        <w:gridCol w:w="690"/>
        <w:gridCol w:w="516"/>
        <w:gridCol w:w="647"/>
        <w:gridCol w:w="551"/>
        <w:gridCol w:w="515"/>
        <w:gridCol w:w="716"/>
        <w:gridCol w:w="473"/>
      </w:tblGrid>
      <w:tr>
        <w:trPr>
          <w:trHeight w:val="526" w:hRule="atLeast"/>
        </w:trPr>
        <w:tc>
          <w:tcPr>
            <w:tcW w:w="4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 xml:space="preserve">№ </w:t>
            </w:r>
          </w:p>
        </w:tc>
        <w:tc>
          <w:tcPr>
            <w:tcW w:w="3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 xml:space="preserve">№ </w:t>
            </w:r>
            <w:r>
              <w:rPr>
                <w:bCs/>
              </w:rPr>
              <w:t>поз.</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Наименование Товара</w:t>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Артикул, тип, марка</w:t>
            </w:r>
          </w:p>
        </w:tc>
        <w:tc>
          <w:tcPr>
            <w:tcW w:w="6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Завод изготовитель</w:t>
            </w:r>
          </w:p>
        </w:tc>
        <w:tc>
          <w:tcPr>
            <w:tcW w:w="7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Страна происхождения Товара</w:t>
            </w:r>
            <w:r>
              <w:rPr>
                <w:rStyle w:val="FootnoteReference"/>
                <w:bCs/>
              </w:rPr>
              <w:footnoteReference w:id="2"/>
            </w:r>
          </w:p>
        </w:tc>
        <w:tc>
          <w:tcPr>
            <w:tcW w:w="7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t>Страна регистрации производителя Товара</w:t>
            </w:r>
          </w:p>
        </w:tc>
        <w:tc>
          <w:tcPr>
            <w:tcW w:w="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Код ОКПД 2 (с наименованием)</w:t>
            </w:r>
          </w:p>
        </w:tc>
        <w:tc>
          <w:tcPr>
            <w:tcW w:w="7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Единица измерения</w:t>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
                <w:bCs/>
              </w:rPr>
            </w:pPr>
            <w:r>
              <w:rPr>
                <w:b/>
                <w:bCs/>
              </w:rPr>
            </w:r>
          </w:p>
          <w:p>
            <w:pPr>
              <w:pStyle w:val="Normal"/>
              <w:widowControl w:val="false"/>
              <w:jc w:val="center"/>
              <w:rPr>
                <w:bCs/>
              </w:rPr>
            </w:pPr>
            <w:r>
              <w:rPr>
                <w:bCs/>
                <w:highlight w:val="lightGray"/>
              </w:rPr>
              <w:t>Порядковый номер(а) реестровой(ых) записи(ей)</w:t>
            </w:r>
            <w:r>
              <w:rPr>
                <w:rStyle w:val="FootnoteReference"/>
                <w:bCs/>
                <w:highlight w:val="lightGray"/>
              </w:rPr>
              <w:footnoteReference w:id="3"/>
            </w:r>
          </w:p>
          <w:p>
            <w:pPr>
              <w:pStyle w:val="Normal"/>
              <w:widowControl w:val="false"/>
              <w:jc w:val="center"/>
              <w:rPr>
                <w:bCs/>
              </w:rPr>
            </w:pPr>
            <w:r>
              <w:rPr>
                <w:bCs/>
              </w:rPr>
            </w:r>
          </w:p>
        </w:tc>
        <w:tc>
          <w:tcPr>
            <w:tcW w:w="5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Количество</w:t>
            </w:r>
          </w:p>
        </w:tc>
        <w:tc>
          <w:tcPr>
            <w:tcW w:w="6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за единицу, руб. без НДС</w:t>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руб. без НДС</w:t>
            </w:r>
          </w:p>
        </w:tc>
        <w:tc>
          <w:tcPr>
            <w:tcW w:w="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НДС</w:t>
            </w:r>
          </w:p>
          <w:p>
            <w:pPr>
              <w:pStyle w:val="Normal"/>
              <w:widowControl w:val="false"/>
              <w:jc w:val="center"/>
              <w:rPr>
                <w:bCs/>
              </w:rPr>
            </w:pPr>
            <w:r>
              <w:rPr>
                <w:bCs/>
              </w:rPr>
              <w:t>(___%) руб.</w:t>
            </w:r>
          </w:p>
        </w:tc>
        <w:tc>
          <w:tcPr>
            <w:tcW w:w="7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Стоимость, руб., с НДС</w:t>
            </w:r>
          </w:p>
        </w:tc>
        <w:tc>
          <w:tcPr>
            <w:tcW w:w="4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Перечень сопроводительных документов (в том числе подтверждающих качество Товара)</w:t>
            </w:r>
          </w:p>
        </w:tc>
      </w:tr>
      <w:tr>
        <w:trPr>
          <w:trHeight w:val="538" w:hRule="atLeast"/>
        </w:trPr>
        <w:tc>
          <w:tcPr>
            <w:tcW w:w="45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t>1</w:t>
            </w:r>
          </w:p>
        </w:tc>
        <w:tc>
          <w:tcPr>
            <w:tcW w:w="3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1</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7"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2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r>
          </w:p>
        </w:tc>
        <w:tc>
          <w:tcPr>
            <w:tcW w:w="3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2</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7"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2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62" w:hRule="atLeast"/>
        </w:trPr>
        <w:tc>
          <w:tcPr>
            <w:tcW w:w="8445"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Товара №1</w:t>
            </w:r>
            <w:r>
              <w:rPr/>
              <w:t>, руб. с НДС</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t>2</w:t>
            </w:r>
          </w:p>
        </w:tc>
        <w:tc>
          <w:tcPr>
            <w:tcW w:w="3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3</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7"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2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r>
          </w:p>
        </w:tc>
        <w:tc>
          <w:tcPr>
            <w:tcW w:w="3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4</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7"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24"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62" w:hRule="atLeast"/>
        </w:trPr>
        <w:tc>
          <w:tcPr>
            <w:tcW w:w="8445"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Товара №2</w:t>
            </w:r>
            <w:r>
              <w:rPr/>
              <w:t>, руб. с НДС</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262" w:hRule="atLeast"/>
        </w:trPr>
        <w:tc>
          <w:tcPr>
            <w:tcW w:w="8445"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всего Товара (с учетом доставки), руб. с НДС:</w:t>
            </w:r>
          </w:p>
        </w:tc>
        <w:tc>
          <w:tcPr>
            <w:tcW w:w="1189"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bl>
    <w:p>
      <w:pPr>
        <w:pStyle w:val="Normal"/>
        <w:rPr>
          <w:i/>
          <w:i/>
          <w:sz w:val="24"/>
          <w:szCs w:val="24"/>
          <w:highlight w:val="yellow"/>
        </w:rPr>
      </w:pPr>
      <w:r>
        <w:rPr>
          <w:i/>
          <w:sz w:val="24"/>
          <w:szCs w:val="24"/>
          <w:highlight w:val="yellow"/>
        </w:rPr>
      </w:r>
    </w:p>
    <w:p>
      <w:pPr>
        <w:pStyle w:val="Normal"/>
        <w:rPr>
          <w:i/>
          <w:i/>
          <w:sz w:val="22"/>
          <w:szCs w:val="22"/>
          <w:highlight w:val="lightGray"/>
        </w:rPr>
      </w:pPr>
      <w:r>
        <w:rPr>
          <w:i/>
          <w:sz w:val="22"/>
          <w:szCs w:val="22"/>
          <w:highlight w:val="lightGray"/>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pPr>
        <w:pStyle w:val="Normal"/>
        <w:rPr>
          <w:i/>
          <w:i/>
          <w:sz w:val="22"/>
          <w:szCs w:val="22"/>
        </w:rPr>
      </w:pPr>
      <w:r>
        <w:rPr>
          <w:i/>
          <w:sz w:val="22"/>
          <w:szCs w:val="22"/>
          <w:highlight w:val="lightGray"/>
        </w:rPr>
        <w:t>2. По требованию Покупателя Поставщик обязан представить запрашиваемую информацию/документы, расчеты, обосновывающие стоимость доставки.</w:t>
      </w:r>
      <w:r>
        <w:rPr>
          <w:i/>
          <w:sz w:val="22"/>
          <w:szCs w:val="22"/>
        </w:rPr>
        <w:t xml:space="preserve"> </w:t>
      </w:r>
    </w:p>
    <w:p>
      <w:pPr>
        <w:pStyle w:val="Normal"/>
        <w:rPr>
          <w:i/>
          <w:i/>
          <w:sz w:val="22"/>
          <w:szCs w:val="22"/>
        </w:rPr>
      </w:pPr>
      <w:r>
        <w:rPr>
          <w:i/>
          <w:sz w:val="22"/>
          <w:szCs w:val="22"/>
        </w:rPr>
      </w:r>
    </w:p>
    <w:p>
      <w:pPr>
        <w:pStyle w:val="Normal"/>
        <w:rPr>
          <w:i/>
          <w:i/>
          <w:sz w:val="22"/>
          <w:szCs w:val="22"/>
        </w:rPr>
      </w:pPr>
      <w:r>
        <w:rPr>
          <w:i/>
          <w:sz w:val="22"/>
          <w:szCs w:val="22"/>
        </w:rPr>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829"/>
        <w:gridCol w:w="4807"/>
      </w:tblGrid>
      <w:tr>
        <w:trPr>
          <w:trHeight w:val="269" w:hRule="atLeast"/>
        </w:trPr>
        <w:tc>
          <w:tcPr>
            <w:tcW w:w="4829" w:type="dxa"/>
            <w:tcBorders/>
          </w:tcPr>
          <w:p>
            <w:pPr>
              <w:pStyle w:val="Normal"/>
              <w:widowControl w:val="false"/>
              <w:rPr>
                <w:b/>
                <w:sz w:val="24"/>
              </w:rPr>
            </w:pPr>
            <w:r>
              <w:rPr>
                <w:b/>
                <w:sz w:val="24"/>
              </w:rPr>
              <w:t>Покупатель:</w:t>
            </w:r>
          </w:p>
        </w:tc>
        <w:tc>
          <w:tcPr>
            <w:tcW w:w="4807" w:type="dxa"/>
            <w:tcBorders/>
          </w:tcPr>
          <w:p>
            <w:pPr>
              <w:pStyle w:val="Normal"/>
              <w:widowControl w:val="false"/>
              <w:rPr>
                <w:b/>
                <w:sz w:val="24"/>
              </w:rPr>
            </w:pPr>
            <w:r>
              <w:rPr>
                <w:b/>
                <w:sz w:val="24"/>
              </w:rPr>
              <w:t>Поставщик:</w:t>
            </w:r>
          </w:p>
        </w:tc>
      </w:tr>
    </w:tbl>
    <w:p>
      <w:pPr>
        <w:pStyle w:val="Normal"/>
        <w:rPr/>
      </w:pPr>
      <w:r>
        <w:rPr/>
        <w:t xml:space="preserve"> </w:t>
      </w:r>
      <w:r>
        <w:rPr/>
        <w:t>__________ /__________</w:t>
        <w:tab/>
        <w:t xml:space="preserve">                                                       ___________ /___________</w:t>
      </w:r>
    </w:p>
    <w:p>
      <w:pPr>
        <w:pStyle w:val="Normal"/>
        <w:rPr>
          <w:i/>
          <w:i/>
          <w:sz w:val="24"/>
          <w:szCs w:val="24"/>
          <w:highlight w:val="yellow"/>
        </w:rPr>
      </w:pPr>
      <w:r>
        <w:rPr>
          <w:i/>
          <w:sz w:val="24"/>
          <w:szCs w:val="24"/>
          <w:highlight w:val="yellow"/>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ind w:left="5103" w:hanging="0"/>
        <w:rPr>
          <w:sz w:val="22"/>
          <w:szCs w:val="22"/>
        </w:rPr>
      </w:pPr>
      <w:r>
        <w:rPr>
          <w:sz w:val="22"/>
          <w:szCs w:val="22"/>
        </w:rPr>
        <w:t>Приложение № 2</w:t>
      </w:r>
    </w:p>
    <w:p>
      <w:pPr>
        <w:pStyle w:val="Normal"/>
        <w:ind w:left="5103" w:hanging="0"/>
        <w:rPr>
          <w:sz w:val="22"/>
          <w:szCs w:val="22"/>
        </w:rPr>
      </w:pPr>
      <w:r>
        <w:rPr>
          <w:sz w:val="22"/>
          <w:szCs w:val="22"/>
        </w:rPr>
        <w:t xml:space="preserve">к Договору поставки </w:t>
      </w:r>
    </w:p>
    <w:p>
      <w:pPr>
        <w:pStyle w:val="Normal"/>
        <w:ind w:left="5103" w:hanging="0"/>
        <w:rPr>
          <w:sz w:val="22"/>
          <w:szCs w:val="22"/>
        </w:rPr>
      </w:pPr>
      <w:r>
        <w:rPr>
          <w:sz w:val="22"/>
          <w:szCs w:val="22"/>
        </w:rPr>
        <w:t xml:space="preserve">от «____» ________ 20 _ г. № </w:t>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t>ТЕХНИЧЕСКИЕ ТРЕБОВАНИЯ</w:t>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b/>
          <w:sz w:val="24"/>
          <w:szCs w:val="24"/>
        </w:rPr>
      </w:pPr>
      <w:r>
        <w:rPr>
          <w:b/>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176" w:type="dxa"/>
        <w:tblLayout w:type="fixed"/>
        <w:tblCellMar>
          <w:top w:w="0" w:type="dxa"/>
          <w:left w:w="108" w:type="dxa"/>
          <w:bottom w:w="0" w:type="dxa"/>
          <w:right w:w="108" w:type="dxa"/>
        </w:tblCellMar>
        <w:tblLook w:val="04a0" w:noHBand="0" w:noVBand="1" w:firstColumn="1" w:lastRow="0" w:lastColumn="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r>
          </w:p>
        </w:tc>
        <w:tc>
          <w:tcPr>
            <w:tcW w:w="4819" w:type="dxa"/>
            <w:tcBorders/>
            <w:shd w:color="auto" w:fill="auto" w:val="clear"/>
          </w:tcPr>
          <w:p>
            <w:pPr>
              <w:pStyle w:val="Normal"/>
              <w:widowControl w:val="false"/>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ind w:firstLine="33"/>
              <w:rPr>
                <w:b/>
                <w:sz w:val="24"/>
                <w:szCs w:val="24"/>
              </w:rPr>
            </w:pPr>
            <w:r>
              <w:rPr>
                <w:b/>
                <w:sz w:val="24"/>
                <w:szCs w:val="24"/>
              </w:rPr>
            </w:r>
          </w:p>
        </w:tc>
      </w:tr>
    </w:tbl>
    <w:p>
      <w:pPr>
        <w:pStyle w:val="Normal"/>
        <w:numPr>
          <w:ilvl w:val="0"/>
          <w:numId w:val="0"/>
        </w:numPr>
        <w:ind w:left="0" w:hanging="0"/>
        <w:jc w:val="center"/>
        <w:outlineLvl w:val="0"/>
        <w:rPr>
          <w:bCs/>
          <w:sz w:val="24"/>
          <w:szCs w:val="24"/>
        </w:rPr>
      </w:pPr>
      <w:r>
        <w:rPr>
          <w:bCs/>
          <w:sz w:val="24"/>
          <w:szCs w:val="24"/>
        </w:rPr>
      </w:r>
      <w:r>
        <w:br w:type="page"/>
      </w:r>
    </w:p>
    <w:p>
      <w:pPr>
        <w:pStyle w:val="Normal"/>
        <w:ind w:firstLine="6237"/>
        <w:jc w:val="right"/>
        <w:rPr>
          <w:sz w:val="24"/>
          <w:szCs w:val="24"/>
        </w:rPr>
      </w:pPr>
      <w:r>
        <w:rPr>
          <w:sz w:val="24"/>
          <w:szCs w:val="24"/>
        </w:rPr>
        <w:t>Приложение № 3</w:t>
      </w:r>
    </w:p>
    <w:p>
      <w:pPr>
        <w:pStyle w:val="Normal"/>
        <w:ind w:firstLine="6237"/>
        <w:rPr>
          <w:sz w:val="24"/>
          <w:szCs w:val="24"/>
        </w:rPr>
      </w:pPr>
      <w:r>
        <w:rPr>
          <w:sz w:val="24"/>
          <w:szCs w:val="24"/>
        </w:rPr>
        <w:t>к Договору поставки</w:t>
      </w:r>
    </w:p>
    <w:p>
      <w:pPr>
        <w:pStyle w:val="Normal"/>
        <w:ind w:firstLine="6237"/>
        <w:rPr>
          <w:bCs/>
          <w:sz w:val="24"/>
          <w:szCs w:val="24"/>
        </w:rPr>
      </w:pPr>
      <w:r>
        <w:rPr>
          <w:sz w:val="24"/>
          <w:szCs w:val="24"/>
        </w:rPr>
        <w:t xml:space="preserve">от «____» ________20 _ г. № </w:t>
      </w:r>
    </w:p>
    <w:p>
      <w:pPr>
        <w:pStyle w:val="Normal"/>
        <w:widowControl/>
        <w:shd w:val="clear" w:color="auto" w:fill="FFFFFF"/>
        <w:tabs>
          <w:tab w:val="clear" w:pos="709"/>
          <w:tab w:val="left" w:pos="1418" w:leader="none"/>
        </w:tabs>
        <w:spacing w:before="0" w:after="0"/>
        <w:ind w:firstLine="6237"/>
        <w:contextualSpacing/>
        <w:jc w:val="center"/>
        <w:rPr>
          <w:bCs/>
          <w:sz w:val="24"/>
          <w:szCs w:val="24"/>
        </w:rPr>
      </w:pPr>
      <w:r>
        <w:rPr>
          <w:bCs/>
          <w:sz w:val="24"/>
          <w:szCs w:val="24"/>
        </w:rPr>
      </w:r>
    </w:p>
    <w:p>
      <w:pPr>
        <w:pStyle w:val="Normal"/>
        <w:widowControl/>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70"/>
        <w:gridCol w:w="5966"/>
      </w:tblGrid>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Нарушение правил пожарной безопасности (ППБ):</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1.1. Нарушение ППБ без возникновения пожара</w:t>
            </w:r>
          </w:p>
          <w:p>
            <w:pPr>
              <w:pStyle w:val="Normal"/>
              <w:widowControl w:val="false"/>
              <w:rPr>
                <w:b/>
                <w:sz w:val="24"/>
                <w:szCs w:val="24"/>
              </w:rPr>
            </w:pPr>
            <w:r>
              <w:rPr>
                <w:b/>
                <w:sz w:val="24"/>
                <w:szCs w:val="24"/>
              </w:rPr>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250 000 (двести пятьдесят тысяч) рублей за каждый случай нарушения.</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sz w:val="24"/>
          <w:szCs w:val="24"/>
        </w:rPr>
      </w:pPr>
      <w:r>
        <w:rPr>
          <w:sz w:val="24"/>
          <w:szCs w:val="24"/>
        </w:rPr>
      </w:r>
    </w:p>
    <w:p>
      <w:pPr>
        <w:pStyle w:val="Normal"/>
        <w:rPr>
          <w:sz w:val="24"/>
          <w:szCs w:val="24"/>
        </w:rPr>
      </w:pPr>
      <w:r>
        <w:rPr>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176" w:type="dxa"/>
        <w:tblLayout w:type="fixed"/>
        <w:tblCellMar>
          <w:top w:w="0" w:type="dxa"/>
          <w:left w:w="108" w:type="dxa"/>
          <w:bottom w:w="0" w:type="dxa"/>
          <w:right w:w="108" w:type="dxa"/>
        </w:tblCellMar>
        <w:tblLook w:val="04a0" w:noHBand="0" w:noVBand="1" w:firstColumn="1" w:lastRow="0" w:lastColumn="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r>
          </w:p>
        </w:tc>
        <w:tc>
          <w:tcPr>
            <w:tcW w:w="4819" w:type="dxa"/>
            <w:tcBorders/>
            <w:shd w:color="auto" w:fill="auto" w:val="clear"/>
          </w:tcPr>
          <w:p>
            <w:pPr>
              <w:pStyle w:val="Normal"/>
              <w:widowControl w:val="false"/>
              <w:ind w:firstLine="34"/>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ind w:firstLine="33"/>
              <w:rPr>
                <w:b/>
                <w:sz w:val="24"/>
                <w:szCs w:val="24"/>
              </w:rPr>
            </w:pPr>
            <w:r>
              <w:rPr>
                <w:b/>
                <w:sz w:val="24"/>
                <w:szCs w:val="24"/>
              </w:rPr>
            </w:r>
          </w:p>
        </w:tc>
      </w:tr>
    </w:tbl>
    <w:p>
      <w:pPr>
        <w:pStyle w:val="Normal"/>
        <w:rPr>
          <w:b/>
          <w:bCs/>
          <w:sz w:val="24"/>
          <w:szCs w:val="24"/>
        </w:rPr>
      </w:pPr>
      <w:r>
        <w:rPr>
          <w:b/>
          <w:bCs/>
          <w:sz w:val="24"/>
          <w:szCs w:val="24"/>
        </w:rPr>
      </w:r>
    </w:p>
    <w:p>
      <w:pPr>
        <w:pStyle w:val="Normal"/>
        <w:rPr/>
      </w:pPr>
      <w:r>
        <w:rPr/>
      </w:r>
    </w:p>
    <w:p>
      <w:pPr>
        <w:pStyle w:val="Normal"/>
        <w:rPr/>
      </w:pPr>
      <w:r>
        <w:rPr/>
      </w:r>
    </w:p>
    <w:p>
      <w:pPr>
        <w:pStyle w:val="Normal"/>
        <w:rPr/>
      </w:pPr>
      <w:r>
        <w:rPr/>
      </w:r>
    </w:p>
    <w:p>
      <w:pPr>
        <w:pStyle w:val="Normal"/>
        <w:rPr/>
      </w:pPr>
      <w:r>
        <w:rPr/>
      </w:r>
    </w:p>
    <w:sectPr>
      <w:headerReference w:type="default" r:id="rId8"/>
      <w:headerReference w:type="first" r:id="rId9"/>
      <w:footerReference w:type="default" r:id="rId10"/>
      <w:footerReference w:type="first" r:id="rId11"/>
      <w:footnotePr>
        <w:numFmt w:val="decimal"/>
      </w:footnotePr>
      <w:type w:val="nextPage"/>
      <w:pgSz w:w="11906" w:h="16838"/>
      <w:pgMar w:left="1418" w:right="851" w:gutter="0" w:header="709"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Courier New">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17</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21</w:t>
    </w:r>
    <w:r>
      <w:rPr>
        <w:sz w:val="22"/>
        <w:szCs w:val="22"/>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widowControl w:val="false"/>
        <w:jc w:val="both"/>
        <w:rPr/>
      </w:pPr>
      <w:r>
        <w:rPr>
          <w:rStyle w:val="Style16"/>
        </w:rPr>
        <w:footnoteRef/>
      </w:r>
      <w:r>
        <w:rPr/>
        <w:t xml:space="preserve"> </w:t>
      </w:r>
      <w:r>
        <w:rPr/>
        <w:t>В соответствии с Общероссийским классификатором стран мира (утв. Постановлением Госстандарта России от 14.12.2001 N 529-ст.).</w:t>
      </w:r>
    </w:p>
  </w:footnote>
  <w:footnote w:id="3">
    <w:p>
      <w:pPr>
        <w:pStyle w:val="FootnoteText"/>
        <w:widowControl w:val="false"/>
        <w:jc w:val="both"/>
        <w:rPr/>
      </w:pPr>
      <w:r>
        <w:rPr>
          <w:rStyle w:val="Style16"/>
        </w:rPr>
        <w:footnoteRef/>
      </w:r>
      <w:r>
        <w:rPr/>
        <w:t xml:space="preserve"> </w:t>
      </w:r>
      <w:r>
        <w:rPr>
          <w:bCs/>
        </w:rPr>
        <w:t>Порядковый номер (номера) реестровой записи (реестровых записей), под которой (которыми) Оборудование включено в реестры, предусмотренные пунктом 3 Постановления Правительства РФ от</w:t>
      </w:r>
      <w:r>
        <w:rPr>
          <w:bCs/>
          <w:lang w:val="en-US"/>
        </w:rPr>
        <w:t xml:space="preserve"> </w:t>
      </w:r>
      <w:bookmarkStart w:id="11" w:name="_GoBack_Копия_1_Копия_1_Копия_1_Копия_1_"/>
      <w:bookmarkEnd w:id="11"/>
      <w:r>
        <w:rPr>
          <w:bCs/>
        </w:rPr>
        <w:t>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875" w:leader="none"/>
        <w:tab w:val="right" w:pos="8306" w:leader="none"/>
      </w:tabs>
      <w:jc w:val="right"/>
      <w:rPr/>
    </w:pPr>
    <w:r>
      <w:rPr/>
      <w:t xml:space="preserve">                                                                                                                                                </w:t>
    </w:r>
    <w:r>
      <w:rPr/>
      <w:t>ТФД № 2.2.2.</w:t>
      <w:tab/>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t>ТФД № 2.2.2.</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283"/>
        </w:tabs>
        <w:ind w:left="1283" w:hanging="432"/>
      </w:pPr>
      <w:rPr>
        <w:sz w:val="24"/>
        <w:b w:val="false"/>
        <w:szCs w:val="24"/>
      </w:rPr>
    </w:lvl>
    <w:lvl w:ilvl="2">
      <w:start w:val="1"/>
      <w:numFmt w:val="decimal"/>
      <w:lvlText w:val="%1.%2.%3."/>
      <w:lvlJc w:val="left"/>
      <w:pPr>
        <w:tabs>
          <w:tab w:val="num" w:pos="1855"/>
        </w:tabs>
        <w:ind w:left="1639" w:hanging="504"/>
      </w:pPr>
      <w:rPr>
        <w:b w:val="false"/>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writeProtection w:cryptProviderType="rsaAES" w:cryptAlgorithmClass="hash" w:cryptAlgorithmType="typeAny" w:cryptAlgorithmSid="14" w:cryptSpinCount="100000" w:hash="PvTi7+A+EJ9JuBRB5Nkums55vzJ5YTCOaMQJxwPqVloIhxHbuEy+IjZnBZDG5OzhzWvitXOgqehnJUVFUs7gmQ==" w:salt="e+qEw/jTeQt+YQwGCvrfgg=="/>
  <w:zoom w:percent="101"/>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trackedChanges"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86f70"/>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link w:val="1"/>
    <w:qFormat/>
    <w:rsid w:val="00886f70"/>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
    <w:qFormat/>
    <w:rsid w:val="00886f70"/>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886f70"/>
    <w:rPr>
      <w:rFonts w:ascii="Arial" w:hAnsi="Arial" w:eastAsia="Times New Roman" w:cs="Arial"/>
      <w:b/>
      <w:bCs/>
      <w:kern w:val="2"/>
      <w:sz w:val="32"/>
      <w:szCs w:val="32"/>
      <w:lang w:eastAsia="ru-RU"/>
    </w:rPr>
  </w:style>
  <w:style w:type="character" w:styleId="3" w:customStyle="1">
    <w:name w:val="Заголовок 3 Знак"/>
    <w:basedOn w:val="DefaultParagraphFont"/>
    <w:qFormat/>
    <w:rsid w:val="00886f70"/>
    <w:rPr>
      <w:rFonts w:ascii="Cambria" w:hAnsi="Cambria" w:eastAsia="Times New Roman" w:cs="Times New Roman"/>
      <w:b/>
      <w:bCs/>
      <w:color w:val="4F81BD"/>
      <w:sz w:val="20"/>
      <w:szCs w:val="20"/>
      <w:lang w:val="x-none" w:eastAsia="x-none"/>
    </w:rPr>
  </w:style>
  <w:style w:type="character" w:styleId="Style7" w:customStyle="1">
    <w:name w:val="Заголовок Знак"/>
    <w:basedOn w:val="DefaultParagraphFont"/>
    <w:qFormat/>
    <w:rsid w:val="00886f70"/>
    <w:rPr>
      <w:rFonts w:ascii="Times New Roman" w:hAnsi="Times New Roman" w:eastAsia="Times New Roman" w:cs="Times New Roman"/>
      <w:b/>
      <w:bCs/>
      <w:sz w:val="24"/>
      <w:szCs w:val="24"/>
      <w:lang w:eastAsia="ru-RU"/>
    </w:rPr>
  </w:style>
  <w:style w:type="character" w:styleId="2" w:customStyle="1">
    <w:name w:val="Основной текст с отступом 2 Знак"/>
    <w:basedOn w:val="DefaultParagraphFont"/>
    <w:link w:val="BodyTextIndent2"/>
    <w:qFormat/>
    <w:rsid w:val="00886f70"/>
    <w:rPr>
      <w:rFonts w:ascii="Times New Roman" w:hAnsi="Times New Roman" w:eastAsia="Times New Roman" w:cs="Times New Roman"/>
      <w:sz w:val="24"/>
      <w:szCs w:val="20"/>
      <w:lang w:eastAsia="ru-RU"/>
    </w:rPr>
  </w:style>
  <w:style w:type="character" w:styleId="Style8" w:customStyle="1">
    <w:name w:val="Текст выноски Знак"/>
    <w:basedOn w:val="DefaultParagraphFont"/>
    <w:link w:val="BalloonText"/>
    <w:semiHidden/>
    <w:qFormat/>
    <w:rsid w:val="00886f70"/>
    <w:rPr>
      <w:rFonts w:ascii="Tahoma" w:hAnsi="Tahoma" w:eastAsia="Times New Roman" w:cs="Tahoma"/>
      <w:sz w:val="16"/>
      <w:szCs w:val="16"/>
      <w:lang w:eastAsia="ru-RU"/>
    </w:rPr>
  </w:style>
  <w:style w:type="character" w:styleId="21" w:customStyle="1">
    <w:name w:val="Основной текст 2 Знак"/>
    <w:basedOn w:val="DefaultParagraphFont"/>
    <w:link w:val="BodyText2"/>
    <w:qFormat/>
    <w:rsid w:val="00886f70"/>
    <w:rPr>
      <w:rFonts w:ascii="Times New Roman" w:hAnsi="Times New Roman" w:eastAsia="Times New Roman" w:cs="Times New Roman"/>
      <w:sz w:val="24"/>
      <w:szCs w:val="24"/>
      <w:lang w:eastAsia="ru-RU"/>
    </w:rPr>
  </w:style>
  <w:style w:type="character" w:styleId="Style9" w:customStyle="1">
    <w:name w:val="Основной текст Знак"/>
    <w:basedOn w:val="DefaultParagraphFont"/>
    <w:qFormat/>
    <w:rsid w:val="00886f70"/>
    <w:rPr>
      <w:rFonts w:ascii="Times New Roman" w:hAnsi="Times New Roman" w:eastAsia="Times New Roman" w:cs="Times New Roman"/>
      <w:sz w:val="20"/>
      <w:szCs w:val="20"/>
      <w:lang w:eastAsia="ru-RU"/>
    </w:rPr>
  </w:style>
  <w:style w:type="character" w:styleId="Style10" w:customStyle="1">
    <w:name w:val="Нижний колонтитул Знак"/>
    <w:basedOn w:val="DefaultParagraphFont"/>
    <w:uiPriority w:val="99"/>
    <w:qFormat/>
    <w:rsid w:val="00886f70"/>
    <w:rPr>
      <w:rFonts w:ascii="Times New Roman" w:hAnsi="Times New Roman" w:eastAsia="Times New Roman" w:cs="Times New Roman"/>
      <w:sz w:val="20"/>
      <w:szCs w:val="20"/>
      <w:lang w:eastAsia="ru-RU"/>
    </w:rPr>
  </w:style>
  <w:style w:type="character" w:styleId="Pagenumber">
    <w:name w:val="page number"/>
    <w:basedOn w:val="DefaultParagraphFont"/>
    <w:qFormat/>
    <w:rsid w:val="00886f70"/>
    <w:rPr/>
  </w:style>
  <w:style w:type="character" w:styleId="31" w:customStyle="1">
    <w:name w:val="Основной текст 3 Знак"/>
    <w:basedOn w:val="DefaultParagraphFont"/>
    <w:link w:val="BodyText3"/>
    <w:qFormat/>
    <w:rsid w:val="00886f70"/>
    <w:rPr>
      <w:rFonts w:ascii="Times New Roman" w:hAnsi="Times New Roman" w:eastAsia="Times New Roman" w:cs="Times New Roman"/>
      <w:sz w:val="16"/>
      <w:szCs w:val="16"/>
      <w:lang w:val="x-none" w:eastAsia="x-none"/>
    </w:rPr>
  </w:style>
  <w:style w:type="character" w:styleId="Annotationreference">
    <w:name w:val="annotation reference"/>
    <w:qFormat/>
    <w:rsid w:val="00886f70"/>
    <w:rPr>
      <w:sz w:val="16"/>
      <w:szCs w:val="16"/>
    </w:rPr>
  </w:style>
  <w:style w:type="character" w:styleId="Style11" w:customStyle="1">
    <w:name w:val="Текст примечания Знак"/>
    <w:basedOn w:val="DefaultParagraphFont"/>
    <w:link w:val="Annotationtext"/>
    <w:qFormat/>
    <w:rsid w:val="00886f70"/>
    <w:rPr>
      <w:rFonts w:ascii="Times New Roman" w:hAnsi="Times New Roman" w:eastAsia="Times New Roman" w:cs="Times New Roman"/>
      <w:sz w:val="20"/>
      <w:szCs w:val="20"/>
      <w:lang w:eastAsia="ru-RU"/>
    </w:rPr>
  </w:style>
  <w:style w:type="character" w:styleId="Style12" w:customStyle="1">
    <w:name w:val="Тема примечания Знак"/>
    <w:basedOn w:val="Style11"/>
    <w:link w:val="Annotationsubject"/>
    <w:qFormat/>
    <w:rsid w:val="00886f70"/>
    <w:rPr>
      <w:rFonts w:ascii="Times New Roman" w:hAnsi="Times New Roman" w:eastAsia="Times New Roman" w:cs="Times New Roman"/>
      <w:b/>
      <w:bCs/>
      <w:sz w:val="20"/>
      <w:szCs w:val="20"/>
      <w:lang w:val="x-none" w:eastAsia="x-none"/>
    </w:rPr>
  </w:style>
  <w:style w:type="character" w:styleId="Style13" w:customStyle="1">
    <w:name w:val="Основной текст с отступом Знак"/>
    <w:basedOn w:val="DefaultParagraphFont"/>
    <w:qFormat/>
    <w:rsid w:val="00886f70"/>
    <w:rPr>
      <w:rFonts w:ascii="Times New Roman" w:hAnsi="Times New Roman" w:eastAsia="Times New Roman" w:cs="Times New Roman"/>
      <w:sz w:val="20"/>
      <w:szCs w:val="20"/>
      <w:lang w:eastAsia="ru-RU"/>
    </w:rPr>
  </w:style>
  <w:style w:type="character" w:styleId="Style14" w:customStyle="1">
    <w:name w:val="комментарий"/>
    <w:uiPriority w:val="99"/>
    <w:qFormat/>
    <w:rsid w:val="00886f70"/>
    <w:rPr>
      <w:rFonts w:cs="Times New Roman"/>
      <w:b/>
      <w:bCs/>
      <w:i/>
      <w:iCs/>
      <w:shd w:fill="FFFF99" w:val="clear"/>
    </w:rPr>
  </w:style>
  <w:style w:type="character" w:styleId="Style15" w:customStyle="1">
    <w:name w:val="Текст сноски Знак"/>
    <w:basedOn w:val="DefaultParagraphFont"/>
    <w:uiPriority w:val="99"/>
    <w:qFormat/>
    <w:rsid w:val="00886f70"/>
    <w:rPr>
      <w:rFonts w:ascii="Times New Roman" w:hAnsi="Times New Roman" w:eastAsia="Times New Roman" w:cs="Times New Roman"/>
      <w:sz w:val="20"/>
      <w:szCs w:val="20"/>
      <w:lang w:eastAsia="ru-RU"/>
    </w:rPr>
  </w:style>
  <w:style w:type="character" w:styleId="Style16" w:customStyle="1">
    <w:name w:val="Символ сноски"/>
    <w:qFormat/>
    <w:rsid w:val="00886f70"/>
    <w:rPr>
      <w:vertAlign w:val="superscript"/>
    </w:rPr>
  </w:style>
  <w:style w:type="character" w:styleId="FootnoteReference">
    <w:name w:val="Footnote Reference"/>
    <w:rPr>
      <w:vertAlign w:val="superscript"/>
    </w:rPr>
  </w:style>
  <w:style w:type="character" w:styleId="Style17" w:customStyle="1">
    <w:name w:val="Схема документа Знак"/>
    <w:basedOn w:val="DefaultParagraphFont"/>
    <w:link w:val="DocumentMap"/>
    <w:semiHidden/>
    <w:qFormat/>
    <w:rsid w:val="00886f70"/>
    <w:rPr>
      <w:rFonts w:ascii="Tahoma" w:hAnsi="Tahoma" w:eastAsia="Times New Roman" w:cs="Tahoma"/>
      <w:sz w:val="20"/>
      <w:szCs w:val="20"/>
      <w:shd w:fill="000080" w:val="clear"/>
      <w:lang w:eastAsia="ru-RU"/>
    </w:rPr>
  </w:style>
  <w:style w:type="character" w:styleId="Style18" w:customStyle="1">
    <w:name w:val="Верхний колонтитул Знак"/>
    <w:basedOn w:val="DefaultParagraphFont"/>
    <w:qFormat/>
    <w:rsid w:val="00886f70"/>
    <w:rPr>
      <w:rFonts w:ascii="Times New Roman" w:hAnsi="Times New Roman" w:eastAsia="Times New Roman" w:cs="Times New Roman"/>
      <w:sz w:val="20"/>
      <w:szCs w:val="20"/>
      <w:lang w:eastAsia="ru-RU"/>
    </w:rPr>
  </w:style>
  <w:style w:type="character" w:styleId="Hyperlink">
    <w:name w:val="Hyperlink"/>
    <w:rsid w:val="00886f70"/>
    <w:rPr>
      <w:color w:val="0000FF"/>
      <w:u w:val="single"/>
    </w:rPr>
  </w:style>
  <w:style w:type="character" w:styleId="Style19" w:customStyle="1">
    <w:name w:val="Абзац списка Знак"/>
    <w:link w:val="ListParagraph"/>
    <w:uiPriority w:val="34"/>
    <w:qFormat/>
    <w:locked/>
    <w:rsid w:val="00b80bab"/>
    <w:rPr>
      <w:rFonts w:ascii="Times New Roman" w:hAnsi="Times New Roman" w:eastAsia="Times New Roman" w:cs="Times New Roman"/>
      <w:sz w:val="20"/>
      <w:szCs w:val="20"/>
      <w:lang w:eastAsia="ru-RU"/>
    </w:rPr>
  </w:style>
  <w:style w:type="character" w:styleId="Linenumber1" w:customStyle="1">
    <w:name w:val="line number1"/>
    <w:qFormat/>
    <w:rPr/>
  </w:style>
  <w:style w:type="character" w:styleId="Style20" w:customStyle="1">
    <w:name w:val="Символ концевой сноски"/>
    <w:qFormat/>
    <w:rPr>
      <w:vertAlign w:val="superscript"/>
    </w:rPr>
  </w:style>
  <w:style w:type="character" w:styleId="EndnoteReference">
    <w:name w:val="Endnote Reference"/>
    <w:rPr>
      <w:vertAlign w:val="superscript"/>
    </w:rPr>
  </w:style>
  <w:style w:type="character" w:styleId="Linenumber">
    <w:name w:val="line number"/>
    <w:qFormat/>
    <w:rPr/>
  </w:style>
  <w:style w:type="paragraph" w:styleId="Style21">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9"/>
    <w:rsid w:val="00886f70"/>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2">
    <w:name w:val="Указатель"/>
    <w:basedOn w:val="Normal"/>
    <w:qFormat/>
    <w:pPr>
      <w:suppressLineNumbers/>
    </w:pPr>
    <w:rPr>
      <w:rFonts w:cs="Arial Unicode MS"/>
    </w:rPr>
  </w:style>
  <w:style w:type="paragraph" w:styleId="Title">
    <w:name w:val="Title"/>
    <w:basedOn w:val="Normal"/>
    <w:next w:val="BodyText"/>
    <w:link w:val="Style7"/>
    <w:qFormat/>
    <w:rsid w:val="00886f70"/>
    <w:pPr>
      <w:jc w:val="center"/>
    </w:pPr>
    <w:rPr>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11" w:customStyle="1">
    <w:name w:val="Заголовок1"/>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1" w:customStyle="1">
    <w:name w:val="caption11"/>
    <w:basedOn w:val="Normal"/>
    <w:qFormat/>
    <w:pPr>
      <w:suppressLineNumbers/>
      <w:spacing w:before="120" w:after="120"/>
    </w:pPr>
    <w:rPr>
      <w:i/>
      <w:iCs/>
      <w:sz w:val="24"/>
      <w:szCs w:val="24"/>
    </w:rPr>
  </w:style>
  <w:style w:type="paragraph" w:styleId="Style23" w:customStyle="1">
    <w:name w:val="Таблицы (моноширинный)"/>
    <w:basedOn w:val="Normal"/>
    <w:next w:val="Normal"/>
    <w:qFormat/>
    <w:rsid w:val="00886f70"/>
    <w:pPr>
      <w:jc w:val="both"/>
    </w:pPr>
    <w:rPr>
      <w:rFonts w:ascii="Courier New" w:hAnsi="Courier New" w:cs="Courier New"/>
    </w:rPr>
  </w:style>
  <w:style w:type="paragraph" w:styleId="BodyTextIndent2">
    <w:name w:val="Body Text Indent 2"/>
    <w:basedOn w:val="Normal"/>
    <w:link w:val="2"/>
    <w:qFormat/>
    <w:rsid w:val="00886f70"/>
    <w:pPr>
      <w:ind w:left="1843" w:hanging="0"/>
      <w:jc w:val="both"/>
    </w:pPr>
    <w:rPr>
      <w:sz w:val="24"/>
    </w:rPr>
  </w:style>
  <w:style w:type="paragraph" w:styleId="BalloonText">
    <w:name w:val="Balloon Text"/>
    <w:basedOn w:val="Normal"/>
    <w:link w:val="Style8"/>
    <w:semiHidden/>
    <w:qFormat/>
    <w:rsid w:val="00886f70"/>
    <w:pPr/>
    <w:rPr>
      <w:rFonts w:ascii="Tahoma" w:hAnsi="Tahoma" w:cs="Tahoma"/>
      <w:sz w:val="16"/>
      <w:szCs w:val="16"/>
    </w:rPr>
  </w:style>
  <w:style w:type="paragraph" w:styleId="BodyText2">
    <w:name w:val="Body Text 2"/>
    <w:basedOn w:val="Normal"/>
    <w:link w:val="21"/>
    <w:qFormat/>
    <w:rsid w:val="00886f70"/>
    <w:pPr>
      <w:widowControl/>
      <w:spacing w:lineRule="auto" w:line="480" w:before="0" w:after="120"/>
    </w:pPr>
    <w:rPr>
      <w:sz w:val="24"/>
      <w:szCs w:val="24"/>
    </w:rPr>
  </w:style>
  <w:style w:type="paragraph" w:styleId="Style24" w:customStyle="1">
    <w:name w:val="Колонтитул"/>
    <w:basedOn w:val="Normal"/>
    <w:qFormat/>
    <w:pPr/>
    <w:rPr/>
  </w:style>
  <w:style w:type="paragraph" w:styleId="Footer">
    <w:name w:val="Footer"/>
    <w:basedOn w:val="Normal"/>
    <w:link w:val="Style10"/>
    <w:uiPriority w:val="99"/>
    <w:rsid w:val="00886f70"/>
    <w:pPr>
      <w:tabs>
        <w:tab w:val="clear" w:pos="709"/>
        <w:tab w:val="center" w:pos="4677" w:leader="none"/>
        <w:tab w:val="right" w:pos="9355" w:leader="none"/>
      </w:tabs>
    </w:pPr>
    <w:rPr/>
  </w:style>
  <w:style w:type="paragraph" w:styleId="BodyText3">
    <w:name w:val="Body Text 3"/>
    <w:basedOn w:val="Normal"/>
    <w:link w:val="31"/>
    <w:qFormat/>
    <w:rsid w:val="00886f70"/>
    <w:pPr>
      <w:spacing w:before="0" w:after="120"/>
    </w:pPr>
    <w:rPr>
      <w:sz w:val="16"/>
      <w:szCs w:val="16"/>
      <w:lang w:val="x-none" w:eastAsia="x-none"/>
    </w:rPr>
  </w:style>
  <w:style w:type="paragraph" w:styleId="Annotationtext">
    <w:name w:val="annotation text"/>
    <w:basedOn w:val="Normal"/>
    <w:link w:val="Style11"/>
    <w:qFormat/>
    <w:rsid w:val="00886f70"/>
    <w:pPr/>
    <w:rPr/>
  </w:style>
  <w:style w:type="paragraph" w:styleId="Annotationsubject">
    <w:name w:val="annotation subject"/>
    <w:basedOn w:val="Annotationtext"/>
    <w:next w:val="Annotationtext"/>
    <w:link w:val="Style12"/>
    <w:qFormat/>
    <w:rsid w:val="00886f70"/>
    <w:pPr/>
    <w:rPr>
      <w:b/>
      <w:bCs/>
      <w:lang w:val="x-none" w:eastAsia="x-none"/>
    </w:rPr>
  </w:style>
  <w:style w:type="paragraph" w:styleId="ListParagraph">
    <w:name w:val="List Paragraph"/>
    <w:basedOn w:val="Normal"/>
    <w:link w:val="Style19"/>
    <w:uiPriority w:val="34"/>
    <w:qFormat/>
    <w:rsid w:val="00886f70"/>
    <w:pPr>
      <w:spacing w:before="0" w:after="0"/>
      <w:ind w:left="720" w:hanging="0"/>
      <w:contextualSpacing/>
    </w:pPr>
    <w:rPr/>
  </w:style>
  <w:style w:type="paragraph" w:styleId="Style25" w:customStyle="1">
    <w:name w:val="Знак Знак Знак Знак Знак Знак Знак Знак Знак"/>
    <w:basedOn w:val="Normal"/>
    <w:uiPriority w:val="99"/>
    <w:qFormat/>
    <w:rsid w:val="00886f70"/>
    <w:pPr>
      <w:widowControl/>
      <w:spacing w:lineRule="exact" w:line="240" w:before="0" w:after="160"/>
      <w:jc w:val="both"/>
    </w:pPr>
    <w:rPr>
      <w:rFonts w:ascii="Verdana" w:hAnsi="Verdana"/>
      <w:sz w:val="22"/>
      <w:lang w:val="en-US" w:eastAsia="en-US"/>
    </w:rPr>
  </w:style>
  <w:style w:type="paragraph" w:styleId="Style26" w:customStyle="1">
    <w:name w:val="Подпункт договора"/>
    <w:basedOn w:val="Normal"/>
    <w:qFormat/>
    <w:rsid w:val="00886f70"/>
    <w:pPr>
      <w:widowControl/>
      <w:tabs>
        <w:tab w:val="clear" w:pos="709"/>
        <w:tab w:val="left" w:pos="360" w:leader="none"/>
      </w:tabs>
      <w:jc w:val="both"/>
    </w:pPr>
    <w:rPr>
      <w:rFonts w:ascii="Arial" w:hAnsi="Arial"/>
    </w:rPr>
  </w:style>
  <w:style w:type="paragraph" w:styleId="ConsNormal" w:customStyle="1">
    <w:name w:val="ConsNormal"/>
    <w:qFormat/>
    <w:rsid w:val="00886f70"/>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3"/>
    <w:rsid w:val="00886f70"/>
    <w:pPr>
      <w:spacing w:before="0" w:after="120"/>
      <w:ind w:left="283" w:hanging="0"/>
    </w:pPr>
    <w:rPr/>
  </w:style>
  <w:style w:type="paragraph" w:styleId="Style27" w:customStyle="1">
    <w:name w:val="Знак"/>
    <w:basedOn w:val="Normal"/>
    <w:qFormat/>
    <w:rsid w:val="00886f70"/>
    <w:pPr>
      <w:widowControl/>
      <w:spacing w:lineRule="exact" w:line="240" w:before="0" w:after="160"/>
    </w:pPr>
    <w:rPr>
      <w:rFonts w:ascii="Verdana" w:hAnsi="Verdana" w:cs="Verdana"/>
      <w:lang w:val="en-US" w:eastAsia="en-US"/>
    </w:rPr>
  </w:style>
  <w:style w:type="paragraph" w:styleId="FootnoteText">
    <w:name w:val="Footnote Text"/>
    <w:basedOn w:val="Normal"/>
    <w:link w:val="Style15"/>
    <w:uiPriority w:val="99"/>
    <w:rsid w:val="00886f70"/>
    <w:pPr/>
    <w:rPr/>
  </w:style>
  <w:style w:type="paragraph" w:styleId="ListBullet3">
    <w:name w:val="List Bullet 3"/>
    <w:basedOn w:val="Normal"/>
    <w:uiPriority w:val="99"/>
    <w:unhideWhenUsed/>
    <w:qFormat/>
    <w:rsid w:val="00886f70"/>
    <w:pPr>
      <w:widowControl/>
      <w:tabs>
        <w:tab w:val="clear" w:pos="709"/>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886f70"/>
    <w:pPr>
      <w:widowControl/>
      <w:tabs>
        <w:tab w:val="clear" w:pos="709"/>
        <w:tab w:val="left" w:pos="851" w:leader="none"/>
      </w:tabs>
      <w:spacing w:lineRule="auto" w:line="360"/>
      <w:ind w:left="851" w:hanging="851"/>
      <w:jc w:val="both"/>
    </w:pPr>
    <w:rPr>
      <w:rFonts w:eastAsia="Calibri"/>
      <w:sz w:val="28"/>
      <w:szCs w:val="28"/>
    </w:rPr>
  </w:style>
  <w:style w:type="paragraph" w:styleId="DocumentMap">
    <w:name w:val="Document Map"/>
    <w:basedOn w:val="Normal"/>
    <w:link w:val="Style17"/>
    <w:semiHidden/>
    <w:qFormat/>
    <w:rsid w:val="00886f70"/>
    <w:pPr>
      <w:shd w:val="clear" w:color="auto" w:fill="000080"/>
    </w:pPr>
    <w:rPr>
      <w:rFonts w:ascii="Tahoma" w:hAnsi="Tahoma" w:cs="Tahoma"/>
    </w:rPr>
  </w:style>
  <w:style w:type="paragraph" w:styleId="Revision">
    <w:name w:val="Revision"/>
    <w:uiPriority w:val="99"/>
    <w:semiHidden/>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8"/>
    <w:rsid w:val="00886f70"/>
    <w:pPr>
      <w:tabs>
        <w:tab w:val="clear" w:pos="709"/>
        <w:tab w:val="center" w:pos="4677" w:leader="none"/>
        <w:tab w:val="right" w:pos="9355" w:leader="none"/>
      </w:tabs>
    </w:pPr>
    <w:rPr/>
  </w:style>
  <w:style w:type="paragraph" w:styleId="Style28" w:customStyle="1">
    <w:name w:val="Пункт договора"/>
    <w:basedOn w:val="Normal"/>
    <w:qFormat/>
    <w:rsid w:val="00886f70"/>
    <w:pPr>
      <w:jc w:val="both"/>
    </w:pPr>
    <w:rPr>
      <w:rFonts w:ascii="Arial" w:hAnsi="Arial"/>
    </w:rPr>
  </w:style>
  <w:style w:type="paragraph" w:styleId="12" w:customStyle="1">
    <w:name w:val="Знак Знак Знак Знак Знак Знак Знак Знак Знак1"/>
    <w:basedOn w:val="Normal"/>
    <w:qFormat/>
    <w:rsid w:val="00886f70"/>
    <w:pPr>
      <w:widowControl/>
      <w:spacing w:lineRule="exact" w:line="240" w:before="0" w:after="160"/>
      <w:jc w:val="both"/>
    </w:pPr>
    <w:rPr>
      <w:rFonts w:ascii="Verdana" w:hAnsi="Verdana"/>
      <w:sz w:val="22"/>
      <w:lang w:val="en-US" w:eastAsia="en-US"/>
    </w:rPr>
  </w:style>
  <w:style w:type="paragraph" w:styleId="13" w:customStyle="1">
    <w:name w:val="Обычный1"/>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886f70"/>
    <w:pPr>
      <w:widowControl w:val="false"/>
      <w:suppressAutoHyphens w:val="true"/>
      <w:bidi w:val="0"/>
      <w:spacing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Standard" w:customStyle="1">
    <w:name w:val="Standard"/>
    <w:qFormat/>
    <w:rsid w:val="00a106e8"/>
    <w:pPr>
      <w:widowControl/>
      <w:suppressAutoHyphens w:val="true"/>
      <w:bidi w:val="0"/>
      <w:spacing w:before="0" w:after="0"/>
      <w:jc w:val="left"/>
      <w:textAlignment w:val="baseline"/>
    </w:pPr>
    <w:rPr>
      <w:rFonts w:ascii="Liberation Serif" w:hAnsi="Liberation Serif" w:eastAsia="Arial Unicode MS" w:cs="Arial Unicode MS"/>
      <w:color w:val="auto"/>
      <w:kern w:val="2"/>
      <w:sz w:val="24"/>
      <w:szCs w:val="24"/>
      <w:lang w:val="ru-RU" w:eastAsia="zh-CN" w:bidi="hi-IN"/>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c">
    <w:name w:val="Table Grid"/>
    <w:basedOn w:val="a1"/>
    <w:rsid w:val="00886f70"/>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29469-CEFB-4C63-A023-2AFB44A96B18}">
  <ds:schemaRefs>
    <ds:schemaRef ds:uri="http://schemas.microsoft.com/sharepoint/v3/contenttype/forms"/>
  </ds:schemaRefs>
</ds:datastoreItem>
</file>

<file path=customXml/itemProps2.xml><?xml version="1.0" encoding="utf-8"?>
<ds:datastoreItem xmlns:ds="http://schemas.openxmlformats.org/officeDocument/2006/customXml" ds:itemID="{95CAEEA5-E2B6-4B76-A826-4F29FF9531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6085CE-3EE5-4257-A854-52108840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4BA3F3-68BB-444D-85B0-20D2FFA3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Application>AlterOffice/3.4.0.9$Linux_X86_64 LibreOffice_project/b8daf9e823b1a5463a2f48435ddc2e8696e7d4fc</Application>
  <AppVersion>15.0000</AppVersion>
  <Pages>19</Pages>
  <Words>7040</Words>
  <Characters>50076</Characters>
  <CharactersWithSpaces>57016</CharactersWithSpaces>
  <Paragraphs>340</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2024-03-15T06:11:00Z</dcterms:created>
  <dc:creator>Быстрова Дарья Андреевна</dc:creator>
  <dc:description/>
  <dc:language>ru-RU</dc:language>
  <cp:lastModifiedBy>yakushevagg@corp.gidroogk.com</cp:lastModifiedBy>
  <dcterms:modified xsi:type="dcterms:W3CDTF">2026-03-19T12:57:02Z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